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2E56D8">
        <w:tc>
          <w:tcPr>
            <w:tcW w:w="1617" w:type="dxa"/>
          </w:tcPr>
          <w:p w14:paraId="15BF0867" w14:textId="77777777" w:rsidR="0012209D" w:rsidRDefault="0012209D" w:rsidP="002E56D8">
            <w:r>
              <w:t>Last updated:</w:t>
            </w:r>
          </w:p>
        </w:tc>
        <w:tc>
          <w:tcPr>
            <w:tcW w:w="8418" w:type="dxa"/>
          </w:tcPr>
          <w:p w14:paraId="15BF0868" w14:textId="5E64A460" w:rsidR="0012209D" w:rsidRDefault="00EE5A8B" w:rsidP="00EA0955">
            <w:r>
              <w:t>April 2023</w:t>
            </w:r>
          </w:p>
        </w:tc>
      </w:tr>
    </w:tbl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39"/>
        <w:gridCol w:w="967"/>
        <w:gridCol w:w="2020"/>
      </w:tblGrid>
      <w:tr w:rsidR="0012209D" w14:paraId="15BF086F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2E56D8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7FB5EF78" w:rsidR="0012209D" w:rsidRPr="00447FD8" w:rsidRDefault="00EA7288" w:rsidP="002E56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Head of </w:t>
            </w:r>
            <w:r w:rsidR="002E56D8">
              <w:rPr>
                <w:b/>
                <w:bCs/>
              </w:rPr>
              <w:t>School</w:t>
            </w:r>
          </w:p>
        </w:tc>
      </w:tr>
      <w:tr w:rsidR="0012209D" w14:paraId="15BF0875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3" w14:textId="4C213CDB" w:rsidR="0012209D" w:rsidRDefault="00592481" w:rsidP="002E56D8">
            <w:r>
              <w:t>School</w:t>
            </w:r>
            <w:r w:rsidR="0012209D">
              <w:t>:</w:t>
            </w:r>
          </w:p>
        </w:tc>
        <w:tc>
          <w:tcPr>
            <w:tcW w:w="7126" w:type="dxa"/>
            <w:gridSpan w:val="3"/>
          </w:tcPr>
          <w:p w14:paraId="15BF0874" w14:textId="256625FA" w:rsidR="0012209D" w:rsidRDefault="00EE5A8B" w:rsidP="002E56D8">
            <w:r>
              <w:t>Southampton Education School</w:t>
            </w:r>
          </w:p>
        </w:tc>
      </w:tr>
      <w:tr w:rsidR="00C01988" w14:paraId="07201851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C01988" w:rsidRDefault="00C01988" w:rsidP="002E56D8">
            <w:r>
              <w:t>Faculty:</w:t>
            </w:r>
          </w:p>
        </w:tc>
        <w:tc>
          <w:tcPr>
            <w:tcW w:w="7126" w:type="dxa"/>
            <w:gridSpan w:val="3"/>
          </w:tcPr>
          <w:p w14:paraId="7A897A27" w14:textId="2DA40821" w:rsidR="00C01988" w:rsidRDefault="00EE5A8B" w:rsidP="002E56D8">
            <w:r>
              <w:t>Faculty of Social Sciences</w:t>
            </w:r>
          </w:p>
        </w:tc>
      </w:tr>
      <w:tr w:rsidR="0012209D" w14:paraId="15BF087A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6" w14:textId="77777777" w:rsidR="0012209D" w:rsidRDefault="0012209D" w:rsidP="002E56D8">
            <w:r>
              <w:t>Career pathway:</w:t>
            </w:r>
          </w:p>
        </w:tc>
        <w:tc>
          <w:tcPr>
            <w:tcW w:w="4139" w:type="dxa"/>
          </w:tcPr>
          <w:p w14:paraId="15BF0877" w14:textId="588A6FF0" w:rsidR="0012209D" w:rsidRDefault="00E804B0" w:rsidP="00592481">
            <w:r>
              <w:t>ERE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15BF0878" w14:textId="77777777" w:rsidR="0012209D" w:rsidRDefault="0012209D" w:rsidP="002E56D8">
            <w:r>
              <w:t>Level:</w:t>
            </w:r>
          </w:p>
        </w:tc>
        <w:tc>
          <w:tcPr>
            <w:tcW w:w="2020" w:type="dxa"/>
          </w:tcPr>
          <w:p w14:paraId="15BF0879" w14:textId="08D89556" w:rsidR="0012209D" w:rsidRDefault="00EE5A8B" w:rsidP="002E56D8">
            <w:r>
              <w:t>7</w:t>
            </w:r>
          </w:p>
        </w:tc>
      </w:tr>
      <w:tr w:rsidR="0012209D" w14:paraId="15BF087E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12209D" w:rsidRDefault="0012209D" w:rsidP="002E56D8">
            <w:r>
              <w:t>*ERE category:</w:t>
            </w:r>
          </w:p>
        </w:tc>
        <w:tc>
          <w:tcPr>
            <w:tcW w:w="7126" w:type="dxa"/>
            <w:gridSpan w:val="3"/>
          </w:tcPr>
          <w:p w14:paraId="15BF087D" w14:textId="77E5B252" w:rsidR="0012209D" w:rsidRDefault="00E264FD" w:rsidP="00E804B0">
            <w:r>
              <w:t xml:space="preserve">Balanced </w:t>
            </w:r>
            <w:r w:rsidR="00E804B0">
              <w:t>portfolio</w:t>
            </w:r>
          </w:p>
        </w:tc>
      </w:tr>
      <w:tr w:rsidR="0012209D" w14:paraId="15BF0881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12209D" w:rsidRDefault="0012209D" w:rsidP="002E56D8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4BC110CB" w:rsidR="0012209D" w:rsidRPr="005508A2" w:rsidRDefault="00EA7288" w:rsidP="002E56D8">
            <w:r>
              <w:t>Dean of Faculty</w:t>
            </w:r>
          </w:p>
        </w:tc>
      </w:tr>
      <w:tr w:rsidR="0012209D" w14:paraId="15BF0884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12209D" w:rsidRDefault="0012209D" w:rsidP="002E56D8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33B77A11" w:rsidR="0012209D" w:rsidRPr="005508A2" w:rsidRDefault="00EA7288" w:rsidP="00772B0B">
            <w:r>
              <w:t xml:space="preserve">Academic Staff and Students, and others </w:t>
            </w:r>
            <w:r w:rsidRPr="00772B0B">
              <w:t xml:space="preserve">assigned by the </w:t>
            </w:r>
            <w:r w:rsidR="00772B0B">
              <w:t>Dean</w:t>
            </w:r>
          </w:p>
        </w:tc>
      </w:tr>
      <w:tr w:rsidR="0012209D" w14:paraId="15BF0887" w14:textId="77777777" w:rsidTr="00C01988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12209D" w:rsidRDefault="0012209D" w:rsidP="002E56D8">
            <w:r>
              <w:t>Post base:</w:t>
            </w:r>
          </w:p>
        </w:tc>
        <w:tc>
          <w:tcPr>
            <w:tcW w:w="7126" w:type="dxa"/>
            <w:gridSpan w:val="3"/>
          </w:tcPr>
          <w:p w14:paraId="15BF0886" w14:textId="620D8B98" w:rsidR="0012209D" w:rsidRPr="005508A2" w:rsidRDefault="0012209D" w:rsidP="00075D27">
            <w:r>
              <w:t>Office-based</w:t>
            </w:r>
            <w:r w:rsidR="00075D27">
              <w:t xml:space="preserve"> (</w:t>
            </w:r>
            <w:r>
              <w:t>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2E56D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2E56D8">
            <w:r>
              <w:t>Job purpose</w:t>
            </w:r>
          </w:p>
        </w:tc>
      </w:tr>
      <w:tr w:rsidR="0012209D" w14:paraId="15BF088C" w14:textId="77777777" w:rsidTr="002E56D8">
        <w:trPr>
          <w:trHeight w:val="1134"/>
        </w:trPr>
        <w:tc>
          <w:tcPr>
            <w:tcW w:w="10137" w:type="dxa"/>
          </w:tcPr>
          <w:p w14:paraId="4757FBDF" w14:textId="7B3F3299" w:rsidR="004974C0" w:rsidRDefault="002B450C" w:rsidP="00C6370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EA7288" w:rsidRPr="00EA7288">
              <w:rPr>
                <w:lang w:val="en-US"/>
              </w:rPr>
              <w:t xml:space="preserve">esponsibility for developing and </w:t>
            </w:r>
            <w:r w:rsidR="004974C0">
              <w:rPr>
                <w:lang w:val="en-US"/>
              </w:rPr>
              <w:t>delivering</w:t>
            </w:r>
            <w:r w:rsidR="004974C0" w:rsidRPr="00EA7288">
              <w:rPr>
                <w:lang w:val="en-US"/>
              </w:rPr>
              <w:t xml:space="preserve"> </w:t>
            </w:r>
            <w:r w:rsidR="00EA7288" w:rsidRPr="00EA7288">
              <w:rPr>
                <w:lang w:val="en-US"/>
              </w:rPr>
              <w:t xml:space="preserve">the vision and </w:t>
            </w:r>
            <w:r w:rsidR="00A831A5">
              <w:rPr>
                <w:lang w:val="en-US"/>
              </w:rPr>
              <w:t>strategy</w:t>
            </w:r>
            <w:r w:rsidR="00EA7288" w:rsidRPr="00EA7288">
              <w:rPr>
                <w:lang w:val="en-US"/>
              </w:rPr>
              <w:t xml:space="preserve"> </w:t>
            </w:r>
            <w:r w:rsidR="00326407">
              <w:rPr>
                <w:lang w:val="en-US"/>
              </w:rPr>
              <w:t xml:space="preserve">of the School </w:t>
            </w:r>
            <w:r w:rsidR="004974C0">
              <w:rPr>
                <w:lang w:val="en-US"/>
              </w:rPr>
              <w:t>such that it is aligned to the University and Faculty strategic priorities</w:t>
            </w:r>
            <w:r w:rsidR="00E379AC">
              <w:rPr>
                <w:lang w:val="en-US"/>
              </w:rPr>
              <w:t xml:space="preserve">, </w:t>
            </w:r>
            <w:r w:rsidR="00395601">
              <w:rPr>
                <w:lang w:val="en-US"/>
              </w:rPr>
              <w:t>objectives and values</w:t>
            </w:r>
            <w:r w:rsidR="004974C0">
              <w:rPr>
                <w:lang w:val="en-US"/>
              </w:rPr>
              <w:t xml:space="preserve">. </w:t>
            </w:r>
          </w:p>
          <w:p w14:paraId="6392AD1D" w14:textId="78014E89" w:rsidR="005A350E" w:rsidRDefault="002B450C" w:rsidP="00326407">
            <w:r w:rsidRPr="00C66550">
              <w:t xml:space="preserve">Provision of </w:t>
            </w:r>
            <w:r w:rsidR="005A350E" w:rsidRPr="00C66550">
              <w:t>strong, creative, academic leadership</w:t>
            </w:r>
            <w:r w:rsidR="004974C0">
              <w:t xml:space="preserve">, as well as, </w:t>
            </w:r>
            <w:r w:rsidR="0088412D">
              <w:t xml:space="preserve">human, physical resources </w:t>
            </w:r>
            <w:r w:rsidR="004974C0">
              <w:t xml:space="preserve">and financial </w:t>
            </w:r>
            <w:r w:rsidR="005A350E" w:rsidRPr="00C66550">
              <w:t xml:space="preserve">management </w:t>
            </w:r>
            <w:r w:rsidR="004974C0">
              <w:t>of</w:t>
            </w:r>
            <w:r w:rsidR="004974C0" w:rsidRPr="00C66550">
              <w:t xml:space="preserve"> </w:t>
            </w:r>
            <w:r w:rsidR="005A350E" w:rsidRPr="00C66550">
              <w:t xml:space="preserve">the </w:t>
            </w:r>
            <w:r w:rsidR="00D87996" w:rsidRPr="00C66550">
              <w:t>School</w:t>
            </w:r>
            <w:r w:rsidR="004974C0">
              <w:t>;</w:t>
            </w:r>
            <w:r w:rsidR="005A350E" w:rsidRPr="00C66550">
              <w:t xml:space="preserve"> striving </w:t>
            </w:r>
            <w:r w:rsidR="004974C0">
              <w:t xml:space="preserve">always to deliver </w:t>
            </w:r>
            <w:r w:rsidR="005A350E" w:rsidRPr="00C66550">
              <w:t>excellence in research, education, enterprise and innovation.</w:t>
            </w:r>
          </w:p>
          <w:p w14:paraId="15BF088B" w14:textId="69B9AB48" w:rsidR="005A350E" w:rsidRPr="00EA7288" w:rsidRDefault="004974C0" w:rsidP="004974C0">
            <w:pPr>
              <w:rPr>
                <w:lang w:val="en-US"/>
              </w:rPr>
            </w:pPr>
            <w:r>
              <w:rPr>
                <w:lang w:val="en-US"/>
              </w:rPr>
              <w:t>Be responsible and accountable for</w:t>
            </w:r>
            <w:r w:rsidR="00E205AA">
              <w:rPr>
                <w:lang w:val="en-US"/>
              </w:rPr>
              <w:t xml:space="preserve"> the quality and output of the </w:t>
            </w:r>
            <w:r w:rsidR="00326407">
              <w:rPr>
                <w:lang w:val="en-US"/>
              </w:rPr>
              <w:t>School</w:t>
            </w:r>
            <w:r>
              <w:rPr>
                <w:lang w:val="en-US"/>
              </w:rPr>
              <w:t xml:space="preserve"> as measure</w:t>
            </w:r>
            <w:r w:rsidR="00687C8B">
              <w:rPr>
                <w:lang w:val="en-US"/>
              </w:rPr>
              <w:t>d</w:t>
            </w:r>
            <w:r>
              <w:rPr>
                <w:lang w:val="en-US"/>
              </w:rPr>
              <w:t xml:space="preserve"> by key performance indicators</w:t>
            </w:r>
            <w:r w:rsidR="00840E7A">
              <w:rPr>
                <w:lang w:val="en-US"/>
              </w:rPr>
              <w:t xml:space="preserve"> (KPIs) </w:t>
            </w:r>
            <w:r>
              <w:rPr>
                <w:lang w:val="en-US"/>
              </w:rPr>
              <w:t>that are</w:t>
            </w:r>
            <w:r w:rsidR="00E205AA">
              <w:rPr>
                <w:lang w:val="en-US"/>
              </w:rPr>
              <w:t xml:space="preserve"> align</w:t>
            </w:r>
            <w:r>
              <w:rPr>
                <w:lang w:val="en-US"/>
              </w:rPr>
              <w:t>ed</w:t>
            </w:r>
            <w:r w:rsidR="00E205AA">
              <w:rPr>
                <w:lang w:val="en-US"/>
              </w:rPr>
              <w:t xml:space="preserve"> to </w:t>
            </w:r>
            <w:r>
              <w:rPr>
                <w:lang w:val="en-US"/>
              </w:rPr>
              <w:t xml:space="preserve">the </w:t>
            </w:r>
            <w:r w:rsidR="00E205AA">
              <w:rPr>
                <w:lang w:val="en-US"/>
              </w:rPr>
              <w:t xml:space="preserve">University </w:t>
            </w:r>
            <w:r>
              <w:rPr>
                <w:lang w:val="en-US"/>
              </w:rPr>
              <w:t>and Faculty strategic priorities.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2B450C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Pr="00075D27" w:rsidRDefault="0012209D" w:rsidP="002E56D8">
            <w:r w:rsidRPr="00075D27"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Pr="00075D27" w:rsidRDefault="0012209D" w:rsidP="002E56D8">
            <w:r w:rsidRPr="00075D27">
              <w:t>% Time</w:t>
            </w:r>
          </w:p>
        </w:tc>
      </w:tr>
      <w:tr w:rsidR="0012209D" w14:paraId="15BF0894" w14:textId="77777777" w:rsidTr="002B450C"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8AA5014" w14:textId="6BE5C57F" w:rsidR="002B450C" w:rsidRPr="00075D27" w:rsidRDefault="004A36F7" w:rsidP="004A36F7">
            <w:r w:rsidRPr="00075D27">
              <w:rPr>
                <w:b/>
              </w:rPr>
              <w:t xml:space="preserve">University </w:t>
            </w:r>
            <w:r w:rsidR="00381F5C" w:rsidRPr="00075D27">
              <w:rPr>
                <w:b/>
              </w:rPr>
              <w:t>L</w:t>
            </w:r>
            <w:r w:rsidRPr="00075D27">
              <w:rPr>
                <w:b/>
              </w:rPr>
              <w:t>evel strateg</w:t>
            </w:r>
            <w:r w:rsidR="002B450C" w:rsidRPr="00075D27">
              <w:rPr>
                <w:b/>
              </w:rPr>
              <w:t>y</w:t>
            </w:r>
          </w:p>
          <w:p w14:paraId="255622DD" w14:textId="0F853FB4" w:rsidR="004A36F7" w:rsidRPr="00075D27" w:rsidRDefault="004A36F7" w:rsidP="004A36F7">
            <w:r w:rsidRPr="00075D27">
              <w:t>Work with Deans</w:t>
            </w:r>
            <w:r w:rsidR="003C0691" w:rsidRPr="00075D27">
              <w:t xml:space="preserve">, </w:t>
            </w:r>
            <w:r w:rsidR="00F2115C">
              <w:t xml:space="preserve">ADs, </w:t>
            </w:r>
            <w:proofErr w:type="spellStart"/>
            <w:r w:rsidR="003C0691" w:rsidRPr="00075D27">
              <w:t>HoSs</w:t>
            </w:r>
            <w:proofErr w:type="spellEnd"/>
            <w:r w:rsidR="003C0691" w:rsidRPr="00075D27">
              <w:t xml:space="preserve"> </w:t>
            </w:r>
            <w:r w:rsidRPr="00075D27">
              <w:t xml:space="preserve">and </w:t>
            </w:r>
            <w:proofErr w:type="spellStart"/>
            <w:r w:rsidRPr="00075D27">
              <w:t>DoI</w:t>
            </w:r>
            <w:r w:rsidR="0088412D">
              <w:t>s</w:t>
            </w:r>
            <w:proofErr w:type="spellEnd"/>
            <w:r w:rsidRPr="00075D27">
              <w:t xml:space="preserve"> to lead and contribute to cross-University initiatives  (e.g. development of new programmes, research collaborations</w:t>
            </w:r>
            <w:r w:rsidR="0088412D">
              <w:t>, research infrastructure and sustainability</w:t>
            </w:r>
            <w:r w:rsidRPr="00075D27">
              <w:t xml:space="preserve">) </w:t>
            </w:r>
            <w:r w:rsidR="00A67141" w:rsidRPr="00075D27">
              <w:t xml:space="preserve">to maximise the cross-disciplinary strengths of the University </w:t>
            </w:r>
            <w:r w:rsidRPr="00075D27">
              <w:t>and to ensure the School’s strategy is in alignment and positioned to enhance the University’s national and international profile</w:t>
            </w:r>
          </w:p>
          <w:p w14:paraId="15BF0892" w14:textId="652EDCD9" w:rsidR="0012209D" w:rsidRPr="00075D27" w:rsidRDefault="004A36F7" w:rsidP="002E56D8">
            <w:r w:rsidRPr="00075D27">
              <w:t xml:space="preserve">Work in conjunction with other </w:t>
            </w:r>
            <w:proofErr w:type="spellStart"/>
            <w:r w:rsidRPr="00075D27">
              <w:t>HoS</w:t>
            </w:r>
            <w:proofErr w:type="spellEnd"/>
            <w:r w:rsidRPr="00075D27">
              <w:t xml:space="preserve"> across committees and working groups to share and harmoni</w:t>
            </w:r>
            <w:r w:rsidR="00687C8B">
              <w:t>s</w:t>
            </w:r>
            <w:r w:rsidRPr="00075D27">
              <w:t xml:space="preserve">e best practice to ensure consistency, efficiency and effectiveness of research responsibilities and processes.  </w:t>
            </w:r>
          </w:p>
        </w:tc>
        <w:tc>
          <w:tcPr>
            <w:tcW w:w="1019" w:type="dxa"/>
          </w:tcPr>
          <w:p w14:paraId="15BF0893" w14:textId="689DCE2F" w:rsidR="0012209D" w:rsidRPr="00075D27" w:rsidRDefault="00687C8B" w:rsidP="00687C8B">
            <w:r>
              <w:t>15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14:paraId="15BF0898" w14:textId="77777777" w:rsidTr="002B450C">
        <w:tc>
          <w:tcPr>
            <w:tcW w:w="597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3CDCF2C" w14:textId="4E6400D7" w:rsidR="00E66464" w:rsidRPr="00075D27" w:rsidRDefault="00A67141" w:rsidP="002E56D8">
            <w:pPr>
              <w:rPr>
                <w:b/>
                <w:szCs w:val="18"/>
              </w:rPr>
            </w:pPr>
            <w:r w:rsidRPr="00075D27">
              <w:rPr>
                <w:b/>
                <w:szCs w:val="18"/>
              </w:rPr>
              <w:t xml:space="preserve">Faculty </w:t>
            </w:r>
            <w:r w:rsidR="00381F5C" w:rsidRPr="00075D27">
              <w:rPr>
                <w:b/>
                <w:szCs w:val="18"/>
              </w:rPr>
              <w:t>L</w:t>
            </w:r>
            <w:r w:rsidRPr="00075D27">
              <w:rPr>
                <w:b/>
                <w:szCs w:val="18"/>
              </w:rPr>
              <w:t>evel strateg</w:t>
            </w:r>
            <w:r w:rsidR="002B450C" w:rsidRPr="00075D27">
              <w:rPr>
                <w:b/>
                <w:szCs w:val="18"/>
              </w:rPr>
              <w:t>y</w:t>
            </w:r>
          </w:p>
          <w:p w14:paraId="6570D10C" w14:textId="3EEA95E7" w:rsidR="0012209D" w:rsidRDefault="00A67141" w:rsidP="00840E7A">
            <w:pPr>
              <w:rPr>
                <w:szCs w:val="18"/>
              </w:rPr>
            </w:pPr>
            <w:r w:rsidRPr="00075D27">
              <w:rPr>
                <w:szCs w:val="18"/>
              </w:rPr>
              <w:t xml:space="preserve">To work effectively, as a member of the Faculty Board, in the leadership, management and development of </w:t>
            </w:r>
            <w:r w:rsidR="003E4086" w:rsidRPr="00075D27">
              <w:rPr>
                <w:szCs w:val="18"/>
              </w:rPr>
              <w:t>Faculty</w:t>
            </w:r>
            <w:r w:rsidR="0088412D">
              <w:rPr>
                <w:szCs w:val="18"/>
              </w:rPr>
              <w:t xml:space="preserve"> operational</w:t>
            </w:r>
            <w:r w:rsidR="003E4086" w:rsidRPr="00075D27">
              <w:rPr>
                <w:szCs w:val="18"/>
              </w:rPr>
              <w:t xml:space="preserve"> activities.</w:t>
            </w:r>
            <w:r w:rsidR="00326407" w:rsidRPr="00075D27">
              <w:rPr>
                <w:szCs w:val="18"/>
              </w:rPr>
              <w:t xml:space="preserve"> </w:t>
            </w:r>
          </w:p>
          <w:p w14:paraId="15BF0896" w14:textId="0B4F9CDF" w:rsidR="0088412D" w:rsidRPr="00075D27" w:rsidRDefault="0088412D" w:rsidP="0088412D">
            <w:pPr>
              <w:rPr>
                <w:szCs w:val="18"/>
              </w:rPr>
            </w:pPr>
            <w:r w:rsidRPr="00075D27">
              <w:t xml:space="preserve">Work in conjunction with </w:t>
            </w:r>
            <w:r>
              <w:t>faculty colleagues</w:t>
            </w:r>
            <w:r w:rsidRPr="00075D27">
              <w:t xml:space="preserve"> across committees and working groups to share and harmonize best practice to ensure consistency, efficiency and effectiveness of research responsibilities and processes.  </w:t>
            </w:r>
          </w:p>
        </w:tc>
        <w:tc>
          <w:tcPr>
            <w:tcW w:w="1019" w:type="dxa"/>
          </w:tcPr>
          <w:p w14:paraId="15BF0897" w14:textId="7A1B5974" w:rsidR="0012209D" w:rsidRPr="00075D27" w:rsidRDefault="00395601" w:rsidP="002E56D8">
            <w:r>
              <w:t>10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14:paraId="15BF089C" w14:textId="77777777" w:rsidTr="00E66464">
        <w:trPr>
          <w:trHeight w:val="2290"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4EBFBE3" w14:textId="76DD27D5" w:rsidR="00E66464" w:rsidRPr="00075D27" w:rsidRDefault="00381F5C" w:rsidP="002E56D8">
            <w:pPr>
              <w:rPr>
                <w:b/>
              </w:rPr>
            </w:pPr>
            <w:r w:rsidRPr="00075D27">
              <w:rPr>
                <w:b/>
              </w:rPr>
              <w:t>School L</w:t>
            </w:r>
            <w:r w:rsidR="00A9362D" w:rsidRPr="00075D27">
              <w:rPr>
                <w:b/>
              </w:rPr>
              <w:t xml:space="preserve">evel </w:t>
            </w:r>
            <w:r w:rsidR="003C0691" w:rsidRPr="00075D27">
              <w:rPr>
                <w:b/>
              </w:rPr>
              <w:t>strateg</w:t>
            </w:r>
            <w:r w:rsidR="002B450C" w:rsidRPr="00075D27">
              <w:rPr>
                <w:b/>
              </w:rPr>
              <w:t>y</w:t>
            </w:r>
          </w:p>
          <w:p w14:paraId="2A1785EE" w14:textId="77777777" w:rsidR="0088412D" w:rsidRDefault="0088412D" w:rsidP="002E56D8">
            <w:r w:rsidRPr="00075D27">
              <w:t>Work with the Dean and designated accountant to develop and implement sustainable financial business plans for the School including the management of staff and non-staff costs to meet Faculty and University objectives and KPIs ensuring compliance with University and Faculty strategy and in accordance with the agreed timetable.</w:t>
            </w:r>
          </w:p>
          <w:p w14:paraId="3E78AEBA" w14:textId="443E5328" w:rsidR="00271826" w:rsidRDefault="00A9362D" w:rsidP="00271826">
            <w:pPr>
              <w:rPr>
                <w:rFonts w:ascii="Calibri" w:hAnsi="Calibri"/>
                <w:sz w:val="22"/>
                <w:lang w:eastAsia="zh-CN"/>
              </w:rPr>
            </w:pPr>
            <w:r w:rsidRPr="00075D27">
              <w:t xml:space="preserve">To provide </w:t>
            </w:r>
            <w:r w:rsidR="006F3D8D" w:rsidRPr="00075D27">
              <w:t xml:space="preserve">a </w:t>
            </w:r>
            <w:r w:rsidRPr="00075D27">
              <w:t xml:space="preserve">creative vision </w:t>
            </w:r>
            <w:r w:rsidR="006F3D8D" w:rsidRPr="00075D27">
              <w:t xml:space="preserve">for the School </w:t>
            </w:r>
            <w:r w:rsidR="009F23A7" w:rsidRPr="00075D27">
              <w:t xml:space="preserve">and engage with relevant stakeholders </w:t>
            </w:r>
            <w:r w:rsidR="006F3D8D" w:rsidRPr="00075D27">
              <w:t xml:space="preserve">to position it as a significant influential national and international leader </w:t>
            </w:r>
            <w:r w:rsidR="00271826">
              <w:rPr>
                <w:lang w:eastAsia="zh-CN"/>
              </w:rPr>
              <w:t>To lead and manage the School’s senior management team.</w:t>
            </w:r>
          </w:p>
          <w:p w14:paraId="15BF089A" w14:textId="2803912F" w:rsidR="0012209D" w:rsidRPr="00075D27" w:rsidRDefault="00840E7A" w:rsidP="00CB1E23">
            <w:r w:rsidRPr="00075D27">
              <w:rPr>
                <w:szCs w:val="18"/>
              </w:rPr>
              <w:t>To plan and develop organisational change for the advancement of the School, Faculty and University.</w:t>
            </w:r>
          </w:p>
        </w:tc>
        <w:tc>
          <w:tcPr>
            <w:tcW w:w="1019" w:type="dxa"/>
          </w:tcPr>
          <w:p w14:paraId="15BF089B" w14:textId="0643B8D8" w:rsidR="0012209D" w:rsidRPr="00075D27" w:rsidRDefault="00395601" w:rsidP="002E56D8">
            <w:r>
              <w:t>20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12209D" w:rsidRPr="00326407" w14:paraId="15BF08A0" w14:textId="77777777" w:rsidTr="002B450C">
        <w:tc>
          <w:tcPr>
            <w:tcW w:w="597" w:type="dxa"/>
            <w:tcBorders>
              <w:right w:val="nil"/>
            </w:tcBorders>
          </w:tcPr>
          <w:p w14:paraId="15BF089D" w14:textId="36BCF039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66B9A25" w14:textId="77777777" w:rsidR="00E66464" w:rsidRPr="00075D27" w:rsidRDefault="002B450C" w:rsidP="002B450C">
            <w:pPr>
              <w:rPr>
                <w:b/>
              </w:rPr>
            </w:pPr>
            <w:r w:rsidRPr="00075D27">
              <w:rPr>
                <w:b/>
              </w:rPr>
              <w:t>School level Operations</w:t>
            </w:r>
          </w:p>
          <w:p w14:paraId="14B10F7B" w14:textId="3607F871" w:rsidR="002B450C" w:rsidRPr="00075D27" w:rsidRDefault="00687C8B" w:rsidP="002B450C">
            <w:r>
              <w:t xml:space="preserve">Act as a representative of the School through the </w:t>
            </w:r>
            <w:r w:rsidR="002B450C" w:rsidRPr="00075D27">
              <w:t xml:space="preserve"> </w:t>
            </w:r>
            <w:r w:rsidRPr="00075D27">
              <w:t>provi</w:t>
            </w:r>
            <w:r>
              <w:t>sion of</w:t>
            </w:r>
            <w:r w:rsidRPr="00075D27">
              <w:t xml:space="preserve"> </w:t>
            </w:r>
            <w:r w:rsidR="002B450C" w:rsidRPr="00075D27">
              <w:t>strong acade</w:t>
            </w:r>
            <w:r w:rsidR="00E366C5" w:rsidRPr="00075D27">
              <w:t xml:space="preserve">mic leadership and operational </w:t>
            </w:r>
            <w:r w:rsidR="00C66550" w:rsidRPr="00075D27">
              <w:t>management for the School</w:t>
            </w:r>
            <w:r w:rsidR="002B450C" w:rsidRPr="00075D27">
              <w:t xml:space="preserve"> striving for – and being accountable for </w:t>
            </w:r>
            <w:r w:rsidR="00FF1913" w:rsidRPr="00075D27">
              <w:t>–</w:t>
            </w:r>
            <w:r w:rsidR="002B450C" w:rsidRPr="00075D27">
              <w:t xml:space="preserve"> </w:t>
            </w:r>
            <w:r w:rsidR="00FF1913" w:rsidRPr="00075D27">
              <w:t xml:space="preserve">the </w:t>
            </w:r>
            <w:r w:rsidR="00291025" w:rsidRPr="00075D27">
              <w:t>KPIs</w:t>
            </w:r>
            <w:r w:rsidR="00FF1913" w:rsidRPr="00075D27">
              <w:t xml:space="preserve"> that demonstrate </w:t>
            </w:r>
            <w:r w:rsidR="002B450C" w:rsidRPr="00075D27">
              <w:t>excellence in quality and productivity of research, education</w:t>
            </w:r>
            <w:r w:rsidRPr="00C66550">
              <w:t xml:space="preserve"> </w:t>
            </w:r>
            <w:r>
              <w:t>enterprise,</w:t>
            </w:r>
            <w:r w:rsidRPr="00C66550">
              <w:t xml:space="preserve"> innovation</w:t>
            </w:r>
            <w:r w:rsidR="00FF1913" w:rsidRPr="00075D27">
              <w:t xml:space="preserve">, student recruitment, including international where appropriate, and </w:t>
            </w:r>
            <w:r w:rsidR="002B450C" w:rsidRPr="00075D27">
              <w:t>enterprise, within the planned resources.</w:t>
            </w:r>
          </w:p>
          <w:p w14:paraId="5FAFD615" w14:textId="77777777" w:rsidR="0088412D" w:rsidRDefault="002B450C" w:rsidP="00381F5C">
            <w:r w:rsidRPr="00075D27">
              <w:rPr>
                <w:b/>
              </w:rPr>
              <w:t xml:space="preserve">Quality Assurance responsibilities: </w:t>
            </w:r>
            <w:r w:rsidRPr="00075D27">
              <w:t>In conjunction with the relevant AD and DoE/</w:t>
            </w:r>
            <w:proofErr w:type="spellStart"/>
            <w:r w:rsidRPr="00075D27">
              <w:t>DoR</w:t>
            </w:r>
            <w:proofErr w:type="spellEnd"/>
            <w:r w:rsidRPr="00075D27">
              <w:t xml:space="preserve"> to be accountable for efficient and effective processes and structures for the conduct of research and for academic standards in education. In particular in the delivery of an excellent student centred, research-led learning experience for all students and ensuring appropriate access to robust student support mechanisms. </w:t>
            </w:r>
          </w:p>
          <w:p w14:paraId="65AD4CB5" w14:textId="77777777" w:rsidR="0088412D" w:rsidRDefault="0088412D" w:rsidP="0088412D">
            <w:pPr>
              <w:rPr>
                <w:b/>
                <w:szCs w:val="18"/>
              </w:rPr>
            </w:pPr>
          </w:p>
          <w:p w14:paraId="1ABB1D91" w14:textId="3A659260" w:rsidR="0088412D" w:rsidRDefault="0088412D" w:rsidP="0088412D">
            <w:r w:rsidRPr="006F3D8D">
              <w:rPr>
                <w:b/>
                <w:szCs w:val="18"/>
              </w:rPr>
              <w:t xml:space="preserve">New Income </w:t>
            </w:r>
            <w:r>
              <w:rPr>
                <w:b/>
                <w:szCs w:val="18"/>
              </w:rPr>
              <w:t>Identification</w:t>
            </w:r>
            <w:r w:rsidRPr="006F3D8D"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173775">
              <w:rPr>
                <w:szCs w:val="18"/>
              </w:rPr>
              <w:t>Work</w:t>
            </w:r>
            <w:r>
              <w:rPr>
                <w:szCs w:val="18"/>
              </w:rPr>
              <w:t xml:space="preserve"> with the relevant ADs</w:t>
            </w:r>
            <w:r w:rsidRPr="00173775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and DoE/R </w:t>
            </w:r>
            <w:r w:rsidRPr="00173775">
              <w:rPr>
                <w:szCs w:val="18"/>
              </w:rPr>
              <w:t xml:space="preserve">to </w:t>
            </w:r>
            <w:r>
              <w:rPr>
                <w:szCs w:val="18"/>
              </w:rPr>
              <w:t xml:space="preserve">ensure </w:t>
            </w:r>
            <w:r w:rsidRPr="00173775">
              <w:rPr>
                <w:szCs w:val="18"/>
              </w:rPr>
              <w:t xml:space="preserve">the identification of new </w:t>
            </w:r>
            <w:r>
              <w:rPr>
                <w:szCs w:val="18"/>
              </w:rPr>
              <w:t xml:space="preserve">education, </w:t>
            </w:r>
            <w:r w:rsidRPr="00173775">
              <w:rPr>
                <w:szCs w:val="18"/>
              </w:rPr>
              <w:t xml:space="preserve">research and enterprise opportunities </w:t>
            </w:r>
            <w:r>
              <w:rPr>
                <w:szCs w:val="18"/>
              </w:rPr>
              <w:t>and</w:t>
            </w:r>
            <w:r w:rsidRPr="00173775">
              <w:rPr>
                <w:szCs w:val="18"/>
              </w:rPr>
              <w:t xml:space="preserve"> the diversification </w:t>
            </w:r>
            <w:r>
              <w:rPr>
                <w:szCs w:val="18"/>
              </w:rPr>
              <w:t xml:space="preserve">of </w:t>
            </w:r>
            <w:r w:rsidRPr="00173775">
              <w:rPr>
                <w:szCs w:val="18"/>
              </w:rPr>
              <w:t xml:space="preserve">income streams, </w:t>
            </w:r>
          </w:p>
          <w:p w14:paraId="1769FC06" w14:textId="77777777" w:rsidR="0088412D" w:rsidRDefault="0088412D" w:rsidP="0088412D"/>
          <w:p w14:paraId="15BF089E" w14:textId="6AD2E8AE" w:rsidR="0012209D" w:rsidRPr="00075D27" w:rsidRDefault="0088412D" w:rsidP="00BD5B49">
            <w:r w:rsidRPr="009F23A7">
              <w:rPr>
                <w:b/>
              </w:rPr>
              <w:t>Enterprise</w:t>
            </w:r>
            <w:r>
              <w:t xml:space="preserve">: In conjunction with the </w:t>
            </w:r>
            <w:r w:rsidR="00072001">
              <w:t xml:space="preserve">ADRE or </w:t>
            </w:r>
            <w:proofErr w:type="spellStart"/>
            <w:r>
              <w:t>ADEnt</w:t>
            </w:r>
            <w:proofErr w:type="spellEnd"/>
            <w:r>
              <w:t xml:space="preserve"> </w:t>
            </w:r>
            <w:r w:rsidRPr="006A5D4B">
              <w:t xml:space="preserve">champion innovation in enterprise activities and contribute to the University national </w:t>
            </w:r>
            <w:r w:rsidR="00BD5B49">
              <w:t xml:space="preserve">and </w:t>
            </w:r>
            <w:r w:rsidRPr="006A5D4B">
              <w:t>international policy.</w:t>
            </w:r>
          </w:p>
        </w:tc>
        <w:tc>
          <w:tcPr>
            <w:tcW w:w="1019" w:type="dxa"/>
          </w:tcPr>
          <w:p w14:paraId="15BF089F" w14:textId="702678AA" w:rsidR="0012209D" w:rsidRPr="00075D27" w:rsidRDefault="0088412D" w:rsidP="00395601">
            <w:r>
              <w:t>20</w:t>
            </w:r>
            <w:r w:rsidRPr="00075D27">
              <w:t xml:space="preserve"> </w:t>
            </w:r>
            <w:r w:rsidR="00E804B0" w:rsidRPr="00075D27">
              <w:t>%</w:t>
            </w:r>
          </w:p>
        </w:tc>
      </w:tr>
      <w:tr w:rsidR="002B450C" w14:paraId="15BF08A4" w14:textId="77777777" w:rsidTr="002B450C">
        <w:tc>
          <w:tcPr>
            <w:tcW w:w="597" w:type="dxa"/>
            <w:tcBorders>
              <w:right w:val="nil"/>
            </w:tcBorders>
          </w:tcPr>
          <w:p w14:paraId="15BF08A1" w14:textId="77777777" w:rsidR="002B450C" w:rsidRDefault="002B450C" w:rsidP="002B450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7FABA909" w14:textId="0CBDD157" w:rsidR="00291025" w:rsidRPr="00075D27" w:rsidRDefault="00291025" w:rsidP="00291025">
            <w:pPr>
              <w:rPr>
                <w:szCs w:val="18"/>
              </w:rPr>
            </w:pPr>
            <w:r w:rsidRPr="00075D27">
              <w:rPr>
                <w:b/>
                <w:szCs w:val="18"/>
              </w:rPr>
              <w:t>Line Management, Performance and Development Responsibilities:</w:t>
            </w:r>
          </w:p>
          <w:p w14:paraId="7780BA6C" w14:textId="77777777" w:rsidR="00291025" w:rsidRPr="00075D27" w:rsidRDefault="00291025" w:rsidP="00291025">
            <w:pPr>
              <w:rPr>
                <w:szCs w:val="18"/>
              </w:rPr>
            </w:pPr>
            <w:r w:rsidRPr="00075D27">
              <w:rPr>
                <w:b/>
                <w:szCs w:val="18"/>
              </w:rPr>
              <w:t>Managing People</w:t>
            </w:r>
            <w:r w:rsidRPr="00075D27">
              <w:rPr>
                <w:szCs w:val="18"/>
              </w:rPr>
              <w:t>: Manage and support your people’s work productivity, performance, wellbeing and development to maximise their contribution and enable personal growth</w:t>
            </w:r>
          </w:p>
          <w:p w14:paraId="0541A862" w14:textId="0EF014E3" w:rsidR="00687C8B" w:rsidRPr="00687C8B" w:rsidRDefault="00687C8B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 xml:space="preserve">Workload and performance: </w:t>
            </w:r>
            <w:r w:rsidRPr="00075D27">
              <w:rPr>
                <w:szCs w:val="18"/>
              </w:rPr>
              <w:t xml:space="preserve">In conjunction with the </w:t>
            </w:r>
            <w:proofErr w:type="spellStart"/>
            <w:r w:rsidRPr="00075D27">
              <w:rPr>
                <w:szCs w:val="18"/>
              </w:rPr>
              <w:t>HoD</w:t>
            </w:r>
            <w:proofErr w:type="spellEnd"/>
            <w:r w:rsidRPr="00075D27">
              <w:rPr>
                <w:szCs w:val="18"/>
              </w:rPr>
              <w:t xml:space="preserve"> and </w:t>
            </w:r>
            <w:r>
              <w:rPr>
                <w:szCs w:val="18"/>
              </w:rPr>
              <w:t>colleagues within the facu</w:t>
            </w:r>
            <w:r w:rsidR="00C3149D">
              <w:rPr>
                <w:szCs w:val="18"/>
              </w:rPr>
              <w:t>lt</w:t>
            </w:r>
            <w:r>
              <w:rPr>
                <w:szCs w:val="18"/>
              </w:rPr>
              <w:t>y</w:t>
            </w:r>
            <w:r w:rsidRPr="00075D27">
              <w:rPr>
                <w:szCs w:val="18"/>
              </w:rPr>
              <w:t xml:space="preserve"> ensure accountability for an effective line management structure; </w:t>
            </w:r>
            <w:r w:rsidRPr="00075D27">
              <w:t xml:space="preserve">ensure that all staff in the School are allocated duties/workload equitably and are clear about their responsibilities and that they are adequately </w:t>
            </w:r>
            <w:r w:rsidR="003831EC">
              <w:t xml:space="preserve">managed, </w:t>
            </w:r>
            <w:r w:rsidR="00F2115C">
              <w:t>mentored and/</w:t>
            </w:r>
            <w:r w:rsidR="00797219">
              <w:t>or</w:t>
            </w:r>
            <w:r w:rsidR="00F2115C">
              <w:t xml:space="preserve"> monitored</w:t>
            </w:r>
          </w:p>
          <w:p w14:paraId="4477F5A8" w14:textId="74EB62FE" w:rsidR="00777391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Staff Appointment</w:t>
            </w:r>
            <w:r w:rsidR="00E366C5" w:rsidRPr="00075D27">
              <w:rPr>
                <w:b/>
                <w:szCs w:val="18"/>
              </w:rPr>
              <w:t>:</w:t>
            </w:r>
            <w:r w:rsidR="00E366C5" w:rsidRPr="00075D27">
              <w:rPr>
                <w:szCs w:val="18"/>
              </w:rPr>
              <w:t xml:space="preserve"> </w:t>
            </w:r>
            <w:r w:rsidR="00772B0B" w:rsidRPr="00075D27">
              <w:rPr>
                <w:szCs w:val="18"/>
              </w:rPr>
              <w:t xml:space="preserve">In collaboration with the relevant </w:t>
            </w:r>
            <w:proofErr w:type="spellStart"/>
            <w:r w:rsidR="00772B0B" w:rsidRPr="00075D27">
              <w:rPr>
                <w:szCs w:val="18"/>
              </w:rPr>
              <w:t>HoDs</w:t>
            </w:r>
            <w:proofErr w:type="spellEnd"/>
            <w:r w:rsidR="00772B0B" w:rsidRPr="00075D27">
              <w:rPr>
                <w:szCs w:val="18"/>
              </w:rPr>
              <w:t xml:space="preserve"> </w:t>
            </w:r>
            <w:proofErr w:type="spellStart"/>
            <w:r w:rsidR="00772B0B" w:rsidRPr="00075D27">
              <w:rPr>
                <w:szCs w:val="18"/>
              </w:rPr>
              <w:t>DoIs</w:t>
            </w:r>
            <w:proofErr w:type="spellEnd"/>
            <w:r w:rsidR="00772B0B" w:rsidRPr="00075D27">
              <w:rPr>
                <w:szCs w:val="18"/>
              </w:rPr>
              <w:t>, ADs and the Dean take a leading role and responsibility for business cases for School funded appointments ensuring appointments are aligned with Faculty and University strategy.</w:t>
            </w:r>
          </w:p>
          <w:p w14:paraId="7937E911" w14:textId="073C21EB" w:rsidR="002B450C" w:rsidRPr="00075D27" w:rsidRDefault="002B450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Staff development:</w:t>
            </w:r>
            <w:r w:rsidR="008A6139" w:rsidRPr="00075D27">
              <w:rPr>
                <w:szCs w:val="18"/>
              </w:rPr>
              <w:t xml:space="preserve"> Ensure the provision of an environment conducive to </w:t>
            </w:r>
            <w:r w:rsidRPr="00075D27">
              <w:rPr>
                <w:szCs w:val="18"/>
              </w:rPr>
              <w:t xml:space="preserve">the </w:t>
            </w:r>
            <w:r w:rsidR="00291025" w:rsidRPr="00075D27">
              <w:rPr>
                <w:szCs w:val="18"/>
              </w:rPr>
              <w:t>development o</w:t>
            </w:r>
            <w:r w:rsidR="00CB1E23" w:rsidRPr="00075D27">
              <w:rPr>
                <w:szCs w:val="18"/>
              </w:rPr>
              <w:t xml:space="preserve">f staff and students including </w:t>
            </w:r>
            <w:r w:rsidR="00291025" w:rsidRPr="00075D27">
              <w:rPr>
                <w:szCs w:val="18"/>
              </w:rPr>
              <w:t xml:space="preserve">the </w:t>
            </w:r>
            <w:r w:rsidRPr="00075D27">
              <w:rPr>
                <w:szCs w:val="18"/>
              </w:rPr>
              <w:t xml:space="preserve">Concordat </w:t>
            </w:r>
            <w:r w:rsidR="00C14E44" w:rsidRPr="00075D27">
              <w:rPr>
                <w:szCs w:val="18"/>
              </w:rPr>
              <w:t>for Early Career Researchers</w:t>
            </w:r>
            <w:r w:rsidR="00291025" w:rsidRPr="00075D27">
              <w:rPr>
                <w:szCs w:val="18"/>
              </w:rPr>
              <w:t>.</w:t>
            </w:r>
          </w:p>
          <w:p w14:paraId="084095C0" w14:textId="1BEA4D48" w:rsidR="002B450C" w:rsidRPr="009B59CB" w:rsidRDefault="002F7432" w:rsidP="009B59CB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szCs w:val="18"/>
              </w:rPr>
              <w:t>Ensure line managers are skilled to provide mentoring</w:t>
            </w:r>
            <w:r w:rsidR="00772B0B" w:rsidRPr="00075D27">
              <w:rPr>
                <w:szCs w:val="18"/>
              </w:rPr>
              <w:t xml:space="preserve"> and </w:t>
            </w:r>
            <w:r w:rsidR="00381F5C" w:rsidRPr="00075D27">
              <w:rPr>
                <w:szCs w:val="18"/>
              </w:rPr>
              <w:t>development</w:t>
            </w:r>
            <w:r w:rsidRPr="00075D27">
              <w:rPr>
                <w:szCs w:val="18"/>
              </w:rPr>
              <w:t xml:space="preserve"> </w:t>
            </w:r>
            <w:r w:rsidR="008A6139" w:rsidRPr="00075D27">
              <w:rPr>
                <w:szCs w:val="18"/>
              </w:rPr>
              <w:t>to include</w:t>
            </w:r>
            <w:r w:rsidRPr="00075D27">
              <w:rPr>
                <w:szCs w:val="18"/>
              </w:rPr>
              <w:t xml:space="preserve"> preparation for promotio</w:t>
            </w:r>
            <w:r w:rsidR="00381F5C" w:rsidRPr="00075D27">
              <w:rPr>
                <w:szCs w:val="18"/>
              </w:rPr>
              <w:t>n to ensure p</w:t>
            </w:r>
            <w:r w:rsidRPr="00075D27">
              <w:rPr>
                <w:szCs w:val="18"/>
              </w:rPr>
              <w:t>otential</w:t>
            </w:r>
            <w:r w:rsidR="00381F5C" w:rsidRPr="00075D27">
              <w:rPr>
                <w:szCs w:val="18"/>
              </w:rPr>
              <w:t xml:space="preserve"> is fulfilled</w:t>
            </w:r>
            <w:r w:rsidR="00291025" w:rsidRPr="00075D27">
              <w:rPr>
                <w:szCs w:val="18"/>
              </w:rPr>
              <w:t>.</w:t>
            </w:r>
          </w:p>
          <w:p w14:paraId="77880ED7" w14:textId="5B0230E0" w:rsidR="00C14E44" w:rsidRPr="00075D27" w:rsidRDefault="00C14E44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szCs w:val="18"/>
              </w:rPr>
              <w:t>R</w:t>
            </w:r>
            <w:r w:rsidR="002B450C" w:rsidRPr="00075D27">
              <w:rPr>
                <w:szCs w:val="18"/>
              </w:rPr>
              <w:t>esponsibility for the implementation of a performance framework that utilises metrics and objectives for education and research and is in line with University, Faculty, REF</w:t>
            </w:r>
            <w:r w:rsidR="00665824">
              <w:rPr>
                <w:szCs w:val="18"/>
              </w:rPr>
              <w:t>,</w:t>
            </w:r>
            <w:r w:rsidR="002B450C" w:rsidRPr="00075D27">
              <w:rPr>
                <w:szCs w:val="18"/>
              </w:rPr>
              <w:t xml:space="preserve"> TEF</w:t>
            </w:r>
            <w:r w:rsidR="00665824">
              <w:rPr>
                <w:szCs w:val="18"/>
              </w:rPr>
              <w:t xml:space="preserve"> and KEF</w:t>
            </w:r>
            <w:r w:rsidR="002B450C" w:rsidRPr="00075D27">
              <w:rPr>
                <w:szCs w:val="18"/>
              </w:rPr>
              <w:t xml:space="preserve"> requirements and goals. Be accountable for </w:t>
            </w:r>
            <w:r w:rsidR="00FF1913" w:rsidRPr="00075D27">
              <w:rPr>
                <w:szCs w:val="18"/>
              </w:rPr>
              <w:t xml:space="preserve">ensuring </w:t>
            </w:r>
            <w:r w:rsidR="002B450C" w:rsidRPr="00075D27">
              <w:rPr>
                <w:szCs w:val="18"/>
              </w:rPr>
              <w:t xml:space="preserve">the monitoring and management of </w:t>
            </w:r>
            <w:r w:rsidR="00FF1913" w:rsidRPr="00075D27">
              <w:rPr>
                <w:szCs w:val="18"/>
              </w:rPr>
              <w:t xml:space="preserve">all </w:t>
            </w:r>
            <w:r w:rsidR="002B450C" w:rsidRPr="00075D27">
              <w:rPr>
                <w:szCs w:val="18"/>
              </w:rPr>
              <w:t>staff performance through individual staff appraisal</w:t>
            </w:r>
            <w:r w:rsidR="00381F5C" w:rsidRPr="00075D27">
              <w:rPr>
                <w:szCs w:val="18"/>
              </w:rPr>
              <w:t xml:space="preserve"> </w:t>
            </w:r>
            <w:proofErr w:type="spellStart"/>
            <w:r w:rsidR="00381F5C" w:rsidRPr="00075D27">
              <w:rPr>
                <w:szCs w:val="18"/>
              </w:rPr>
              <w:t>e.g</w:t>
            </w:r>
            <w:proofErr w:type="spellEnd"/>
            <w:r w:rsidR="00381F5C" w:rsidRPr="00075D27">
              <w:rPr>
                <w:szCs w:val="18"/>
              </w:rPr>
              <w:t xml:space="preserve"> appraisal moderation.</w:t>
            </w:r>
          </w:p>
          <w:p w14:paraId="6355A6C8" w14:textId="7E19D764" w:rsidR="002B450C" w:rsidRDefault="002B450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 xml:space="preserve">Staff engagement: </w:t>
            </w:r>
            <w:r w:rsidRPr="00075D27">
              <w:rPr>
                <w:szCs w:val="18"/>
              </w:rPr>
              <w:t>To plan and implement a strategy for staff engagement to ensure that staff contribute to and engage with the School, Faculty and University strategy including organi</w:t>
            </w:r>
            <w:r w:rsidR="00BD5B49">
              <w:rPr>
                <w:szCs w:val="18"/>
              </w:rPr>
              <w:t>s</w:t>
            </w:r>
            <w:r w:rsidRPr="00075D27">
              <w:rPr>
                <w:szCs w:val="18"/>
              </w:rPr>
              <w:t>ational change.</w:t>
            </w:r>
          </w:p>
          <w:p w14:paraId="012B2ED2" w14:textId="0C2218A4" w:rsidR="00F2115C" w:rsidRPr="00F2115C" w:rsidRDefault="00F2115C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9E1082">
              <w:rPr>
                <w:b/>
                <w:szCs w:val="18"/>
              </w:rPr>
              <w:t>Student Experience</w:t>
            </w:r>
            <w:r w:rsidRPr="009E1082">
              <w:rPr>
                <w:szCs w:val="18"/>
              </w:rPr>
              <w:t>: Ensuring as a senior member of the faculty that you lead the way in delivering an exceptional Student experience.</w:t>
            </w:r>
          </w:p>
          <w:p w14:paraId="11C633ED" w14:textId="3B9C963F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Financial Decisions</w:t>
            </w:r>
            <w:r w:rsidRPr="00075D27">
              <w:rPr>
                <w:szCs w:val="18"/>
              </w:rPr>
              <w:t>: Make well-informed and timely financial decisions</w:t>
            </w:r>
            <w:r w:rsidR="008E21B7" w:rsidRPr="00075D27">
              <w:rPr>
                <w:szCs w:val="18"/>
              </w:rPr>
              <w:t xml:space="preserve"> regarding devolved budgets</w:t>
            </w:r>
            <w:r w:rsidR="00CB1E23" w:rsidRPr="00075D27">
              <w:rPr>
                <w:szCs w:val="18"/>
              </w:rPr>
              <w:t xml:space="preserve"> (if applicable)</w:t>
            </w:r>
            <w:r w:rsidR="008E21B7" w:rsidRPr="00075D27">
              <w:rPr>
                <w:szCs w:val="18"/>
              </w:rPr>
              <w:t>, taking in</w:t>
            </w:r>
            <w:r w:rsidRPr="00075D27">
              <w:rPr>
                <w:szCs w:val="18"/>
              </w:rPr>
              <w:t>to consideration the impact of these decisions on the financial sustainability of the wider faculty and University.</w:t>
            </w:r>
          </w:p>
          <w:p w14:paraId="7BC2BC8C" w14:textId="77777777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lastRenderedPageBreak/>
              <w:t>Managing Compliance</w:t>
            </w:r>
            <w:r w:rsidRPr="00075D27">
              <w:rPr>
                <w:szCs w:val="18"/>
              </w:rPr>
              <w:t>: Responsibility for ensuring you and your teams understand and apply the relevant policies and guidelines to maintain operational compliance.</w:t>
            </w:r>
          </w:p>
          <w:p w14:paraId="78C84290" w14:textId="77777777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Managing Risk</w:t>
            </w:r>
            <w:r w:rsidRPr="00075D27">
              <w:rPr>
                <w:szCs w:val="18"/>
              </w:rPr>
              <w:t xml:space="preserve">: Responsibility for managing risks effectively and ensuring plans are put in place to mitigate risk or maximise potential, where appropriate. </w:t>
            </w:r>
          </w:p>
          <w:p w14:paraId="15BF08A2" w14:textId="6B744DFB" w:rsidR="00291025" w:rsidRPr="00075D27" w:rsidRDefault="00291025" w:rsidP="00F2115C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075D27">
              <w:rPr>
                <w:b/>
                <w:szCs w:val="18"/>
              </w:rPr>
              <w:t>Embedding Collegiality:</w:t>
            </w:r>
            <w:r w:rsidRPr="00075D27">
              <w:rPr>
                <w:szCs w:val="18"/>
              </w:rPr>
              <w:t xml:space="preserve"> </w:t>
            </w:r>
            <w:r w:rsidR="002946C4" w:rsidRPr="00953060">
              <w:rPr>
                <w:szCs w:val="18"/>
              </w:rPr>
              <w:t>Enact the ‘Southampton Behaviours’ and work with colleagues to embed them as a way of working within the Facult</w:t>
            </w:r>
            <w:r w:rsidR="002946C4">
              <w:rPr>
                <w:szCs w:val="18"/>
              </w:rPr>
              <w:t>y</w:t>
            </w:r>
            <w:r w:rsidRPr="00075D27">
              <w:rPr>
                <w:szCs w:val="18"/>
              </w:rPr>
              <w:t>.</w:t>
            </w:r>
          </w:p>
        </w:tc>
        <w:tc>
          <w:tcPr>
            <w:tcW w:w="1019" w:type="dxa"/>
          </w:tcPr>
          <w:p w14:paraId="15BF08A3" w14:textId="5F869EA6" w:rsidR="002B450C" w:rsidRPr="00075D27" w:rsidRDefault="00395601" w:rsidP="002B450C">
            <w:r>
              <w:lastRenderedPageBreak/>
              <w:t>30</w:t>
            </w:r>
            <w:r w:rsidRPr="00075D27">
              <w:t xml:space="preserve"> </w:t>
            </w:r>
            <w:r w:rsidR="002B450C" w:rsidRPr="00075D27">
              <w:t>%</w:t>
            </w:r>
          </w:p>
        </w:tc>
      </w:tr>
      <w:tr w:rsidR="002B450C" w14:paraId="7AAEB578" w14:textId="77777777" w:rsidTr="002B450C">
        <w:tc>
          <w:tcPr>
            <w:tcW w:w="597" w:type="dxa"/>
            <w:tcBorders>
              <w:right w:val="nil"/>
            </w:tcBorders>
          </w:tcPr>
          <w:p w14:paraId="331A6154" w14:textId="77777777" w:rsidR="002B450C" w:rsidRDefault="002B450C" w:rsidP="002B450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6149C20" w14:textId="3A8C922A" w:rsidR="002B450C" w:rsidRDefault="002B450C" w:rsidP="002B450C">
            <w:r w:rsidRPr="00447FD8">
              <w:t xml:space="preserve">Any other duties as allocated by the </w:t>
            </w:r>
            <w:r>
              <w:t>Dean</w:t>
            </w:r>
            <w:r w:rsidRPr="00447FD8">
              <w:t xml:space="preserve"> following consultation with the post holder.</w:t>
            </w:r>
          </w:p>
        </w:tc>
        <w:tc>
          <w:tcPr>
            <w:tcW w:w="1019" w:type="dxa"/>
          </w:tcPr>
          <w:p w14:paraId="2FB62B7A" w14:textId="5D8EFBC8" w:rsidR="002B450C" w:rsidRDefault="00395601" w:rsidP="002B450C">
            <w:r>
              <w:t>5</w:t>
            </w:r>
            <w:r w:rsidR="00AE09E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D87996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87996">
        <w:trPr>
          <w:trHeight w:val="1134"/>
        </w:trPr>
        <w:tc>
          <w:tcPr>
            <w:tcW w:w="9627" w:type="dxa"/>
          </w:tcPr>
          <w:p w14:paraId="69368D64" w14:textId="70553C1B" w:rsidR="00EB012B" w:rsidRDefault="00EB012B" w:rsidP="00EB012B">
            <w:r>
              <w:t xml:space="preserve">Responsible to The Dean of Faculty; </w:t>
            </w:r>
            <w:r w:rsidR="00F2115C">
              <w:t xml:space="preserve">Associate Deans, </w:t>
            </w:r>
            <w:r>
              <w:t>members</w:t>
            </w:r>
            <w:r w:rsidR="006A5D4B">
              <w:t xml:space="preserve"> of the Vice-Chancellors Office.</w:t>
            </w:r>
          </w:p>
          <w:p w14:paraId="0FB660EB" w14:textId="4C2996B9" w:rsidR="0012209D" w:rsidRDefault="00EB012B" w:rsidP="00EB012B">
            <w:r>
              <w:t>C</w:t>
            </w:r>
            <w:r w:rsidR="00ED5431" w:rsidRPr="00ED5431">
              <w:t>ollaborative relationships in research</w:t>
            </w:r>
            <w:r w:rsidR="00BD5B49">
              <w:t xml:space="preserve">, </w:t>
            </w:r>
            <w:r w:rsidR="00BD5B49" w:rsidRPr="00C66550">
              <w:t>enterprise and innovation</w:t>
            </w:r>
            <w:r w:rsidR="00ED5431" w:rsidRPr="00ED5431">
              <w:t xml:space="preserve"> and teaching with </w:t>
            </w:r>
            <w:r>
              <w:t xml:space="preserve">University and faculty academic staff, elsewhere in the University, </w:t>
            </w:r>
            <w:r w:rsidR="00ED5431" w:rsidRPr="00ED5431">
              <w:t>nationally and internationally.</w:t>
            </w:r>
          </w:p>
          <w:p w14:paraId="15BF08B0" w14:textId="4193AA1E" w:rsidR="00EB012B" w:rsidRDefault="00EB012B" w:rsidP="0052025A">
            <w:r>
              <w:t xml:space="preserve">Close collaboration and mutual cooperation with Faculty Operating Staff; </w:t>
            </w:r>
            <w:r w:rsidR="0052025A">
              <w:t>Faculty Manager</w:t>
            </w:r>
            <w:r>
              <w:t>, Head of Faculty Finance as well as Chief Operating Office and related Professional Services.</w:t>
            </w:r>
          </w:p>
        </w:tc>
      </w:tr>
      <w:tr w:rsidR="00D87996" w14:paraId="7534862D" w14:textId="77777777" w:rsidTr="009B59CB">
        <w:tc>
          <w:tcPr>
            <w:tcW w:w="9627" w:type="dxa"/>
            <w:shd w:val="clear" w:color="auto" w:fill="D9D9D9" w:themeFill="background1" w:themeFillShade="D9"/>
          </w:tcPr>
          <w:p w14:paraId="70833927" w14:textId="0B9A82A1" w:rsidR="00D87996" w:rsidRDefault="00D87996" w:rsidP="00471D2B">
            <w:r>
              <w:t>Special Requirements</w:t>
            </w:r>
          </w:p>
        </w:tc>
      </w:tr>
      <w:tr w:rsidR="00D87996" w14:paraId="2DC1C8CC" w14:textId="77777777" w:rsidTr="00381F5C">
        <w:trPr>
          <w:trHeight w:val="443"/>
        </w:trPr>
        <w:tc>
          <w:tcPr>
            <w:tcW w:w="9627" w:type="dxa"/>
          </w:tcPr>
          <w:p w14:paraId="708B7ADA" w14:textId="10C01A25" w:rsidR="00D87996" w:rsidRDefault="00D87996" w:rsidP="00D87996">
            <w:r w:rsidRPr="00381F5C">
              <w:t>To ensure that excellent working relationships are established and sustained with key stakeholders.</w:t>
            </w:r>
          </w:p>
          <w:p w14:paraId="599E6CD3" w14:textId="57CF4FD8" w:rsidR="00D87996" w:rsidRDefault="00687C8B" w:rsidP="00471D2B">
            <w:r w:rsidRPr="00ED5431">
              <w:t xml:space="preserve">To maintain personal academic credibility through engagement in high </w:t>
            </w:r>
            <w:r w:rsidR="003831EC">
              <w:rPr>
                <w:szCs w:val="18"/>
              </w:rPr>
              <w:t xml:space="preserve">education and/or </w:t>
            </w:r>
            <w:r w:rsidR="003831EC" w:rsidRPr="001D2021">
              <w:rPr>
                <w:szCs w:val="18"/>
              </w:rPr>
              <w:t>research and/or enterprise</w:t>
            </w:r>
            <w:r w:rsidR="00665824">
              <w:t xml:space="preserve"> as appropriate in substantive post. </w:t>
            </w:r>
          </w:p>
        </w:tc>
      </w:tr>
    </w:tbl>
    <w:p w14:paraId="504C1EAE" w14:textId="277ED9D5" w:rsidR="00D87996" w:rsidRDefault="00D87996" w:rsidP="00D87996">
      <w:pPr>
        <w:rPr>
          <w:highlight w:val="yellow"/>
        </w:rPr>
      </w:pPr>
    </w:p>
    <w:p w14:paraId="4877999E" w14:textId="77777777" w:rsidR="00687C8B" w:rsidRDefault="00687C8B" w:rsidP="00D87996">
      <w:pPr>
        <w:rPr>
          <w:highlight w:val="yellow"/>
        </w:rPr>
      </w:pPr>
    </w:p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776" w:type="dxa"/>
        <w:tblLook w:val="04A0" w:firstRow="1" w:lastRow="0" w:firstColumn="1" w:lastColumn="0" w:noHBand="0" w:noVBand="1"/>
      </w:tblPr>
      <w:tblGrid>
        <w:gridCol w:w="1612"/>
        <w:gridCol w:w="4337"/>
        <w:gridCol w:w="3827"/>
      </w:tblGrid>
      <w:tr w:rsidR="008D2B2E" w14:paraId="15BF08BA" w14:textId="77777777" w:rsidTr="008D2B2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8D2B2E" w:rsidRPr="00013C10" w:rsidRDefault="008D2B2E" w:rsidP="002E56D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337" w:type="dxa"/>
            <w:shd w:val="clear" w:color="auto" w:fill="D9D9D9" w:themeFill="background1" w:themeFillShade="D9"/>
            <w:vAlign w:val="center"/>
          </w:tcPr>
          <w:p w14:paraId="15BF08B7" w14:textId="77777777" w:rsidR="008D2B2E" w:rsidRPr="00013C10" w:rsidRDefault="008D2B2E" w:rsidP="002E56D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5BF08B8" w14:textId="77777777" w:rsidR="008D2B2E" w:rsidRPr="00013C10" w:rsidRDefault="008D2B2E" w:rsidP="002E56D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</w:tr>
      <w:tr w:rsidR="008D2B2E" w14:paraId="15BF08BF" w14:textId="77777777" w:rsidTr="008D2B2E">
        <w:tc>
          <w:tcPr>
            <w:tcW w:w="1612" w:type="dxa"/>
          </w:tcPr>
          <w:p w14:paraId="15BF08BB" w14:textId="1D1872F5" w:rsidR="008D2B2E" w:rsidRPr="00FD5B0E" w:rsidRDefault="008D2B2E" w:rsidP="002E56D8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4337" w:type="dxa"/>
          </w:tcPr>
          <w:p w14:paraId="1F0E2E45" w14:textId="77777777" w:rsidR="00D03DE0" w:rsidRDefault="00D03DE0" w:rsidP="00D03DE0">
            <w:r>
              <w:t xml:space="preserve">A proven track record of credible academic leadership </w:t>
            </w:r>
          </w:p>
          <w:p w14:paraId="355E3C42" w14:textId="77777777" w:rsidR="008D2B2E" w:rsidRDefault="008D2B2E" w:rsidP="00ED5431"/>
          <w:p w14:paraId="282C450D" w14:textId="3A1330DF" w:rsidR="008D2B2E" w:rsidRDefault="008D2B2E" w:rsidP="00ED5431">
            <w:r>
              <w:t>Significant skills and experience in education/research/enterprise programme delivery</w:t>
            </w:r>
          </w:p>
          <w:p w14:paraId="3F004FA2" w14:textId="77777777" w:rsidR="008D2B2E" w:rsidRDefault="008D2B2E" w:rsidP="00ED5431"/>
          <w:p w14:paraId="17CC79D7" w14:textId="6F5D55C2" w:rsidR="008D2B2E" w:rsidRDefault="008D2B2E" w:rsidP="00797219">
            <w:pPr>
              <w:spacing w:after="120"/>
            </w:pPr>
            <w:r>
              <w:t xml:space="preserve">Well-established national and international reputation in </w:t>
            </w:r>
            <w:r w:rsidRPr="005E4344">
              <w:rPr>
                <w:szCs w:val="18"/>
              </w:rPr>
              <w:t xml:space="preserve">subject area relevant to the </w:t>
            </w:r>
            <w:r w:rsidR="00D03DE0">
              <w:rPr>
                <w:szCs w:val="18"/>
              </w:rPr>
              <w:t>Southampton Education School.</w:t>
            </w:r>
            <w:r w:rsidDel="007348F5">
              <w:t xml:space="preserve"> </w:t>
            </w:r>
            <w:r>
              <w:t xml:space="preserve">Significant track record of achievement within </w:t>
            </w:r>
            <w:r w:rsidRPr="005E4344">
              <w:rPr>
                <w:szCs w:val="18"/>
              </w:rPr>
              <w:t>subject area relevant to the Faculty</w:t>
            </w:r>
          </w:p>
          <w:p w14:paraId="74D280FB" w14:textId="674C1387" w:rsidR="008D2B2E" w:rsidRDefault="008D2B2E" w:rsidP="00ED5431"/>
          <w:p w14:paraId="5A38E800" w14:textId="51D8942B" w:rsidR="008D2B2E" w:rsidRDefault="008D2B2E" w:rsidP="00ED5431">
            <w:r>
              <w:t xml:space="preserve">Good working knowledge of the NSS TEF, </w:t>
            </w:r>
            <w:proofErr w:type="spellStart"/>
            <w:r>
              <w:t>REFand</w:t>
            </w:r>
            <w:proofErr w:type="spellEnd"/>
            <w:r>
              <w:t xml:space="preserve"> KEF processes</w:t>
            </w:r>
          </w:p>
          <w:p w14:paraId="7E837C78" w14:textId="77777777" w:rsidR="00D75593" w:rsidRDefault="00D75593" w:rsidP="00ED5431"/>
          <w:p w14:paraId="105EA49B" w14:textId="2A454DD5" w:rsidR="00A3190A" w:rsidRDefault="008D2B2E" w:rsidP="00A3190A">
            <w:r>
              <w:t xml:space="preserve">To possess a record appropriate to appointment to a </w:t>
            </w:r>
            <w:r w:rsidR="00A3190A">
              <w:t>Professor in Education, balanced pathway.</w:t>
            </w:r>
            <w:r w:rsidR="00D03DE0">
              <w:t xml:space="preserve"> </w:t>
            </w:r>
          </w:p>
          <w:p w14:paraId="15BF08BC" w14:textId="479DA574" w:rsidR="008D2B2E" w:rsidRDefault="008D2B2E" w:rsidP="00906622"/>
        </w:tc>
        <w:tc>
          <w:tcPr>
            <w:tcW w:w="3827" w:type="dxa"/>
          </w:tcPr>
          <w:p w14:paraId="32AACC8A" w14:textId="77777777" w:rsidR="008D2B2E" w:rsidRDefault="008D2B2E" w:rsidP="00FF1913"/>
          <w:p w14:paraId="5D75A0AC" w14:textId="77777777" w:rsidR="008D2B2E" w:rsidRDefault="008D2B2E" w:rsidP="00FF1913"/>
          <w:p w14:paraId="04A1DED3" w14:textId="77777777" w:rsidR="008D2B2E" w:rsidRDefault="008D2B2E" w:rsidP="00FF1913"/>
          <w:p w14:paraId="50EDED30" w14:textId="77777777" w:rsidR="008D2B2E" w:rsidRDefault="008D2B2E" w:rsidP="00FF1913"/>
          <w:p w14:paraId="15BF08BD" w14:textId="68F919CE" w:rsidR="008D2B2E" w:rsidRDefault="008D2B2E" w:rsidP="0012209D"/>
        </w:tc>
      </w:tr>
      <w:tr w:rsidR="008D2B2E" w14:paraId="15BF08C4" w14:textId="77777777" w:rsidTr="008D2B2E">
        <w:tc>
          <w:tcPr>
            <w:tcW w:w="1612" w:type="dxa"/>
          </w:tcPr>
          <w:p w14:paraId="15BF08C0" w14:textId="3570CEEC" w:rsidR="008D2B2E" w:rsidRPr="00FD5B0E" w:rsidRDefault="008D2B2E" w:rsidP="002E56D8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4337" w:type="dxa"/>
          </w:tcPr>
          <w:p w14:paraId="2C3A308E" w14:textId="77777777" w:rsidR="008D2B2E" w:rsidRDefault="008D2B2E" w:rsidP="00ED5431">
            <w:r>
              <w:t xml:space="preserve">Excellent organisational skills </w:t>
            </w:r>
          </w:p>
          <w:p w14:paraId="4F657447" w14:textId="77777777" w:rsidR="008D2B2E" w:rsidRDefault="008D2B2E" w:rsidP="00ED5431"/>
          <w:p w14:paraId="022AA695" w14:textId="60BCA1C3" w:rsidR="008D2B2E" w:rsidRDefault="008D2B2E" w:rsidP="00ED5431">
            <w:r>
              <w:t xml:space="preserve">Ability to achieve maximum added value in coordinated strategic partnerships and academic </w:t>
            </w:r>
            <w:r>
              <w:rPr>
                <w:szCs w:val="18"/>
              </w:rPr>
              <w:t xml:space="preserve">education and/or </w:t>
            </w:r>
            <w:r w:rsidRPr="001D2021">
              <w:rPr>
                <w:szCs w:val="18"/>
              </w:rPr>
              <w:t>research and/or enterprise</w:t>
            </w:r>
            <w:r>
              <w:t xml:space="preserve"> as appropriate </w:t>
            </w:r>
          </w:p>
          <w:p w14:paraId="39454CFD" w14:textId="77777777" w:rsidR="008D2B2E" w:rsidRDefault="008D2B2E" w:rsidP="00ED5431"/>
          <w:p w14:paraId="15BF08C1" w14:textId="32A75BDB" w:rsidR="008D2B2E" w:rsidRDefault="008D2B2E" w:rsidP="00ED5431">
            <w:r>
              <w:t>Proven ability to lead change in a complex organisation.</w:t>
            </w:r>
          </w:p>
        </w:tc>
        <w:tc>
          <w:tcPr>
            <w:tcW w:w="3827" w:type="dxa"/>
          </w:tcPr>
          <w:p w14:paraId="15BF08C2" w14:textId="77777777" w:rsidR="008D2B2E" w:rsidRDefault="008D2B2E" w:rsidP="0012209D"/>
        </w:tc>
      </w:tr>
      <w:tr w:rsidR="008D2B2E" w14:paraId="15BF08C9" w14:textId="77777777" w:rsidTr="008D2B2E">
        <w:tc>
          <w:tcPr>
            <w:tcW w:w="1612" w:type="dxa"/>
          </w:tcPr>
          <w:p w14:paraId="15BF08C5" w14:textId="132535D4" w:rsidR="008D2B2E" w:rsidRPr="00FD5B0E" w:rsidRDefault="008D2B2E" w:rsidP="002E56D8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4337" w:type="dxa"/>
          </w:tcPr>
          <w:p w14:paraId="0F5B9EF2" w14:textId="77777777" w:rsidR="008D2B2E" w:rsidRDefault="008D2B2E" w:rsidP="00ED5431">
            <w:r>
              <w:t xml:space="preserve">Exceptional ability to solve problems and critically analyse situations </w:t>
            </w:r>
          </w:p>
          <w:p w14:paraId="48ED62A2" w14:textId="77777777" w:rsidR="008D2B2E" w:rsidRDefault="008D2B2E" w:rsidP="00ED5431"/>
          <w:p w14:paraId="15BF08C6" w14:textId="44101CBF" w:rsidR="008D2B2E" w:rsidRDefault="008D2B2E" w:rsidP="00ED5431">
            <w:r>
              <w:t>Proven ability to demonstrate independent and distinctive thinking</w:t>
            </w:r>
          </w:p>
        </w:tc>
        <w:tc>
          <w:tcPr>
            <w:tcW w:w="3827" w:type="dxa"/>
          </w:tcPr>
          <w:p w14:paraId="15BF08C7" w14:textId="77777777" w:rsidR="008D2B2E" w:rsidRDefault="008D2B2E" w:rsidP="0012209D"/>
        </w:tc>
      </w:tr>
      <w:tr w:rsidR="008D2B2E" w14:paraId="15BF08CE" w14:textId="77777777" w:rsidTr="008D2B2E">
        <w:tc>
          <w:tcPr>
            <w:tcW w:w="1612" w:type="dxa"/>
          </w:tcPr>
          <w:p w14:paraId="15BF08CA" w14:textId="20074198" w:rsidR="008D2B2E" w:rsidRPr="00FD5B0E" w:rsidRDefault="008D2B2E" w:rsidP="00E804B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4337" w:type="dxa"/>
          </w:tcPr>
          <w:p w14:paraId="1EDDDFEA" w14:textId="77777777" w:rsidR="008D2B2E" w:rsidRDefault="008D2B2E" w:rsidP="00ED5431">
            <w:r>
              <w:t xml:space="preserve">Strong leadership abilities, including the ability to motivate, influence and persuade others -  internally and externally </w:t>
            </w:r>
          </w:p>
          <w:p w14:paraId="40E3CE14" w14:textId="77777777" w:rsidR="008D2B2E" w:rsidRDefault="008D2B2E" w:rsidP="00ED5431"/>
          <w:p w14:paraId="71F4078B" w14:textId="4DA2F1EF" w:rsidR="008D2B2E" w:rsidRDefault="008D2B2E" w:rsidP="00FB2093">
            <w:r>
              <w:t>Ability to work cooperatively, influentially and effectively with the other Schools  in the Faculty, across the University  and with other Universities and partners to deliver the University and Faculty priorities</w:t>
            </w:r>
          </w:p>
          <w:p w14:paraId="39D25955" w14:textId="77777777" w:rsidR="008D2B2E" w:rsidRDefault="008D2B2E" w:rsidP="00ED5431"/>
          <w:p w14:paraId="772FEE52" w14:textId="77777777" w:rsidR="008D2B2E" w:rsidRDefault="008D2B2E" w:rsidP="00ED5431">
            <w:r>
              <w:t>Ability to manage individuals from diverse professional backgrounds</w:t>
            </w:r>
          </w:p>
          <w:p w14:paraId="04D6C5B1" w14:textId="77777777" w:rsidR="008D2B2E" w:rsidRDefault="008D2B2E" w:rsidP="00ED5431"/>
          <w:p w14:paraId="15BF08CB" w14:textId="375FDEFC" w:rsidR="008D2B2E" w:rsidRDefault="008D2B2E" w:rsidP="0052025A">
            <w:r>
              <w:t>Ability to shape a positive culture of management, leadership and engagement at all levels of the School through exceptional leadership and by personal example</w:t>
            </w:r>
          </w:p>
        </w:tc>
        <w:tc>
          <w:tcPr>
            <w:tcW w:w="3827" w:type="dxa"/>
          </w:tcPr>
          <w:p w14:paraId="15BF08CC" w14:textId="77777777" w:rsidR="008D2B2E" w:rsidRDefault="008D2B2E" w:rsidP="0012209D"/>
        </w:tc>
      </w:tr>
      <w:tr w:rsidR="008D2B2E" w14:paraId="15BF08D3" w14:textId="77777777" w:rsidTr="008D2B2E">
        <w:tc>
          <w:tcPr>
            <w:tcW w:w="1612" w:type="dxa"/>
          </w:tcPr>
          <w:p w14:paraId="15BF08CF" w14:textId="3C87E5CF" w:rsidR="008D2B2E" w:rsidRPr="00FD5B0E" w:rsidRDefault="008D2B2E" w:rsidP="002E56D8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4337" w:type="dxa"/>
          </w:tcPr>
          <w:p w14:paraId="79123310" w14:textId="6F6828B6" w:rsidR="008D2B2E" w:rsidRDefault="008D2B2E" w:rsidP="00ED5431">
            <w:r>
              <w:t>Excellent communication and interpersonal skills, able to persuade and negotiate to help in developing and maintaining strong relationships with staff and key partners</w:t>
            </w:r>
          </w:p>
          <w:p w14:paraId="4A3DF21C" w14:textId="77777777" w:rsidR="008D2B2E" w:rsidRDefault="008D2B2E" w:rsidP="00ED5431"/>
          <w:p w14:paraId="15BF08D0" w14:textId="5F2EC6D1" w:rsidR="008D2B2E" w:rsidRDefault="008D2B2E" w:rsidP="0052025A">
            <w:r>
              <w:t>Ability to positively influence colleagues, staff and peers and inculcate a team ethos geared toward delivery of the University and Faculty priorities</w:t>
            </w:r>
          </w:p>
        </w:tc>
        <w:tc>
          <w:tcPr>
            <w:tcW w:w="3827" w:type="dxa"/>
          </w:tcPr>
          <w:p w14:paraId="15BF08D1" w14:textId="77777777" w:rsidR="008D2B2E" w:rsidRDefault="008D2B2E" w:rsidP="0012209D"/>
        </w:tc>
      </w:tr>
      <w:tr w:rsidR="008D2B2E" w14:paraId="15BF08D8" w14:textId="77777777" w:rsidTr="008D2B2E">
        <w:tc>
          <w:tcPr>
            <w:tcW w:w="1612" w:type="dxa"/>
          </w:tcPr>
          <w:p w14:paraId="15BF08D4" w14:textId="318610B2" w:rsidR="008D2B2E" w:rsidRPr="00FD5B0E" w:rsidRDefault="008D2B2E" w:rsidP="00E804B0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4337" w:type="dxa"/>
          </w:tcPr>
          <w:p w14:paraId="28B3FE7B" w14:textId="08F4C98E" w:rsidR="008D2B2E" w:rsidRPr="005E4344" w:rsidRDefault="008D2B2E" w:rsidP="00381F5C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Commitment to maintain c</w:t>
            </w:r>
            <w:r w:rsidRPr="005E4344">
              <w:rPr>
                <w:szCs w:val="18"/>
              </w:rPr>
              <w:t xml:space="preserve">ompliance with relevant Health &amp; Safety </w:t>
            </w:r>
            <w:r>
              <w:rPr>
                <w:szCs w:val="18"/>
              </w:rPr>
              <w:t xml:space="preserve">policies and to sustain a working environment sensitive to the </w:t>
            </w:r>
            <w:proofErr w:type="spellStart"/>
            <w:r>
              <w:rPr>
                <w:szCs w:val="18"/>
              </w:rPr>
              <w:t>well being</w:t>
            </w:r>
            <w:proofErr w:type="spellEnd"/>
            <w:r>
              <w:rPr>
                <w:szCs w:val="18"/>
              </w:rPr>
              <w:t xml:space="preserve"> of University employees</w:t>
            </w:r>
          </w:p>
          <w:p w14:paraId="1D729497" w14:textId="77777777" w:rsidR="008D2B2E" w:rsidRDefault="008D2B2E" w:rsidP="0012209D"/>
          <w:p w14:paraId="02C870CB" w14:textId="2DFC7968" w:rsidR="008D2B2E" w:rsidRDefault="008D2B2E" w:rsidP="0012209D">
            <w:r w:rsidRPr="00ED5431">
              <w:t xml:space="preserve">Ability to </w:t>
            </w:r>
            <w:r>
              <w:t xml:space="preserve">successfully </w:t>
            </w:r>
            <w:r w:rsidRPr="00ED5431">
              <w:t>lead and manage change through an organisation</w:t>
            </w:r>
          </w:p>
          <w:p w14:paraId="15BF08D5" w14:textId="3BE978D6" w:rsidR="008D2B2E" w:rsidRDefault="008D2B2E" w:rsidP="0052025A">
            <w:r>
              <w:t>Ability to demonstrate alignment with the University’s core values e.g. regarding equality and diversity, in all areas of work; champion those behaviours in the School</w:t>
            </w:r>
          </w:p>
        </w:tc>
        <w:tc>
          <w:tcPr>
            <w:tcW w:w="3827" w:type="dxa"/>
          </w:tcPr>
          <w:p w14:paraId="15BF08D6" w14:textId="77777777" w:rsidR="008D2B2E" w:rsidRDefault="008D2B2E" w:rsidP="0012209D"/>
        </w:tc>
      </w:tr>
      <w:tr w:rsidR="008D2B2E" w14:paraId="15BF08DD" w14:textId="77777777" w:rsidTr="008D2B2E">
        <w:tc>
          <w:tcPr>
            <w:tcW w:w="1612" w:type="dxa"/>
          </w:tcPr>
          <w:p w14:paraId="15BF08D9" w14:textId="77777777" w:rsidR="008D2B2E" w:rsidRPr="00FD5B0E" w:rsidRDefault="008D2B2E" w:rsidP="002E56D8">
            <w:r w:rsidRPr="00FD5B0E">
              <w:t>Special requirements</w:t>
            </w:r>
          </w:p>
        </w:tc>
        <w:tc>
          <w:tcPr>
            <w:tcW w:w="4337" w:type="dxa"/>
          </w:tcPr>
          <w:p w14:paraId="15BF08DA" w14:textId="062D872B" w:rsidR="008D2B2E" w:rsidRDefault="008D2B2E" w:rsidP="0012209D"/>
        </w:tc>
        <w:tc>
          <w:tcPr>
            <w:tcW w:w="3827" w:type="dxa"/>
          </w:tcPr>
          <w:p w14:paraId="15BF08DB" w14:textId="5C5286D3" w:rsidR="008D2B2E" w:rsidRDefault="008D2B2E" w:rsidP="0001023B">
            <w:r w:rsidRPr="00ED5431">
              <w:t>Ab</w:t>
            </w:r>
            <w:r>
              <w:t xml:space="preserve">ility </w:t>
            </w:r>
            <w:r w:rsidRPr="00ED5431">
              <w:t xml:space="preserve">to attend national and international </w:t>
            </w:r>
            <w:r>
              <w:t>meetings as appropriate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5FF7DE1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14B01C7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77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2E56D8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2E56D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2E56D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2E56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2E56D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2E56D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2E56D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D661CEA" w:rsidR="0012209D" w:rsidRPr="009957AE" w:rsidRDefault="001315D4" w:rsidP="002E56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16FF176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2E56D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2E56D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2E56D8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DEE2" w14:textId="77777777" w:rsidR="009F23D3" w:rsidRDefault="009F23D3">
      <w:r>
        <w:separator/>
      </w:r>
    </w:p>
    <w:p w14:paraId="61516788" w14:textId="77777777" w:rsidR="009F23D3" w:rsidRDefault="009F23D3"/>
  </w:endnote>
  <w:endnote w:type="continuationSeparator" w:id="0">
    <w:p w14:paraId="40190DF9" w14:textId="77777777" w:rsidR="009F23D3" w:rsidRDefault="009F23D3">
      <w:r>
        <w:continuationSeparator/>
      </w:r>
    </w:p>
    <w:p w14:paraId="1C39DD28" w14:textId="77777777" w:rsidR="009F23D3" w:rsidRDefault="009F2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BBB7D6E" w:rsidR="0052025A" w:rsidRDefault="00000000" w:rsidP="00E804B0">
    <w:pPr>
      <w:pStyle w:val="ContinuationFooter"/>
    </w:pPr>
    <w:fldSimple w:instr=" FILENAME   \* MERGEFORMAT ">
      <w:r w:rsidR="00B51C88">
        <w:t>Role Descriptor Head of School Education (2)</w:t>
      </w:r>
    </w:fldSimple>
    <w:r w:rsidR="0052025A">
      <w:ptab w:relativeTo="margin" w:alignment="center" w:leader="none"/>
    </w:r>
    <w:r w:rsidR="0052025A">
      <w:ptab w:relativeTo="margin" w:alignment="right" w:leader="none"/>
    </w:r>
    <w:r w:rsidR="0052025A">
      <w:fldChar w:fldCharType="begin"/>
    </w:r>
    <w:r w:rsidR="0052025A">
      <w:instrText xml:space="preserve"> PAGE   \* MERGEFORMAT </w:instrText>
    </w:r>
    <w:r w:rsidR="0052025A">
      <w:fldChar w:fldCharType="separate"/>
    </w:r>
    <w:r w:rsidR="00592481">
      <w:t>5</w:t>
    </w:r>
    <w:r w:rsidR="0052025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A5FC" w14:textId="77777777" w:rsidR="009F23D3" w:rsidRDefault="009F23D3">
      <w:r>
        <w:separator/>
      </w:r>
    </w:p>
    <w:p w14:paraId="4D33BA71" w14:textId="77777777" w:rsidR="009F23D3" w:rsidRDefault="009F23D3"/>
  </w:footnote>
  <w:footnote w:type="continuationSeparator" w:id="0">
    <w:p w14:paraId="7809872F" w14:textId="77777777" w:rsidR="009F23D3" w:rsidRDefault="009F23D3">
      <w:r>
        <w:continuationSeparator/>
      </w:r>
    </w:p>
    <w:p w14:paraId="2093FCA7" w14:textId="77777777" w:rsidR="009F23D3" w:rsidRDefault="009F2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2025A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52025A" w:rsidRDefault="0052025A" w:rsidP="0029789A">
          <w:pPr>
            <w:pStyle w:val="Header"/>
          </w:pPr>
        </w:p>
      </w:tc>
    </w:tr>
    <w:tr w:rsidR="0052025A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52025A" w:rsidRDefault="0052025A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193C32" w14:textId="77777777" w:rsidR="00592481" w:rsidRDefault="00592481" w:rsidP="00F01EA0">
    <w:pPr>
      <w:pStyle w:val="DocTitle"/>
    </w:pPr>
    <w:r>
      <w:t xml:space="preserve">Officer of the University </w:t>
    </w:r>
  </w:p>
  <w:p w14:paraId="15BF0984" w14:textId="5F9BE090" w:rsidR="0052025A" w:rsidRDefault="00592481" w:rsidP="00592481">
    <w:pPr>
      <w:pStyle w:val="DocTitle"/>
    </w:pPr>
    <w:r>
      <w:t xml:space="preserve">Role Descriptor </w:t>
    </w:r>
  </w:p>
  <w:p w14:paraId="15BF0985" w14:textId="77777777" w:rsidR="0052025A" w:rsidRPr="0005274A" w:rsidRDefault="0052025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42577"/>
    <w:multiLevelType w:val="hybridMultilevel"/>
    <w:tmpl w:val="CD0C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C713DA"/>
    <w:multiLevelType w:val="hybridMultilevel"/>
    <w:tmpl w:val="A476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84643405">
    <w:abstractNumId w:val="19"/>
  </w:num>
  <w:num w:numId="2" w16cid:durableId="2071222424">
    <w:abstractNumId w:val="0"/>
  </w:num>
  <w:num w:numId="3" w16cid:durableId="1569923570">
    <w:abstractNumId w:val="15"/>
  </w:num>
  <w:num w:numId="4" w16cid:durableId="1541046216">
    <w:abstractNumId w:val="11"/>
  </w:num>
  <w:num w:numId="5" w16cid:durableId="1774662270">
    <w:abstractNumId w:val="12"/>
  </w:num>
  <w:num w:numId="6" w16cid:durableId="805661926">
    <w:abstractNumId w:val="8"/>
  </w:num>
  <w:num w:numId="7" w16cid:durableId="69692731">
    <w:abstractNumId w:val="3"/>
  </w:num>
  <w:num w:numId="8" w16cid:durableId="1593859585">
    <w:abstractNumId w:val="5"/>
  </w:num>
  <w:num w:numId="9" w16cid:durableId="187572539">
    <w:abstractNumId w:val="1"/>
  </w:num>
  <w:num w:numId="10" w16cid:durableId="1235045674">
    <w:abstractNumId w:val="9"/>
  </w:num>
  <w:num w:numId="11" w16cid:durableId="1362248331">
    <w:abstractNumId w:val="4"/>
  </w:num>
  <w:num w:numId="12" w16cid:durableId="1285313015">
    <w:abstractNumId w:val="16"/>
  </w:num>
  <w:num w:numId="13" w16cid:durableId="1766269907">
    <w:abstractNumId w:val="17"/>
  </w:num>
  <w:num w:numId="14" w16cid:durableId="1829010509">
    <w:abstractNumId w:val="6"/>
  </w:num>
  <w:num w:numId="15" w16cid:durableId="1401174772">
    <w:abstractNumId w:val="2"/>
  </w:num>
  <w:num w:numId="16" w16cid:durableId="308898332">
    <w:abstractNumId w:val="13"/>
  </w:num>
  <w:num w:numId="17" w16cid:durableId="149251964">
    <w:abstractNumId w:val="14"/>
  </w:num>
  <w:num w:numId="18" w16cid:durableId="1537347320">
    <w:abstractNumId w:val="18"/>
  </w:num>
  <w:num w:numId="19" w16cid:durableId="1455250100">
    <w:abstractNumId w:val="7"/>
  </w:num>
  <w:num w:numId="20" w16cid:durableId="70988626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023B"/>
    <w:rsid w:val="00013C10"/>
    <w:rsid w:val="00015087"/>
    <w:rsid w:val="00024A6B"/>
    <w:rsid w:val="0005274A"/>
    <w:rsid w:val="00062768"/>
    <w:rsid w:val="00063081"/>
    <w:rsid w:val="00071653"/>
    <w:rsid w:val="00072001"/>
    <w:rsid w:val="00075D27"/>
    <w:rsid w:val="0007657A"/>
    <w:rsid w:val="00080D6C"/>
    <w:rsid w:val="000824F4"/>
    <w:rsid w:val="000978E8"/>
    <w:rsid w:val="000B1DED"/>
    <w:rsid w:val="000B4E5A"/>
    <w:rsid w:val="000D4771"/>
    <w:rsid w:val="000F1290"/>
    <w:rsid w:val="0012209D"/>
    <w:rsid w:val="001315D4"/>
    <w:rsid w:val="001532E2"/>
    <w:rsid w:val="001533B7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1826"/>
    <w:rsid w:val="0028509A"/>
    <w:rsid w:val="00291025"/>
    <w:rsid w:val="002946C4"/>
    <w:rsid w:val="0029789A"/>
    <w:rsid w:val="002A70BE"/>
    <w:rsid w:val="002B450C"/>
    <w:rsid w:val="002C6198"/>
    <w:rsid w:val="002D4DF4"/>
    <w:rsid w:val="002E56D8"/>
    <w:rsid w:val="002F7432"/>
    <w:rsid w:val="00310F56"/>
    <w:rsid w:val="00313CC8"/>
    <w:rsid w:val="003178D9"/>
    <w:rsid w:val="00326407"/>
    <w:rsid w:val="0034151E"/>
    <w:rsid w:val="00364B2C"/>
    <w:rsid w:val="00366CE6"/>
    <w:rsid w:val="003701F7"/>
    <w:rsid w:val="00381F5C"/>
    <w:rsid w:val="003831EC"/>
    <w:rsid w:val="00395601"/>
    <w:rsid w:val="003B0262"/>
    <w:rsid w:val="003B7540"/>
    <w:rsid w:val="003C0691"/>
    <w:rsid w:val="003E4086"/>
    <w:rsid w:val="00410F96"/>
    <w:rsid w:val="004263FE"/>
    <w:rsid w:val="00447702"/>
    <w:rsid w:val="00463797"/>
    <w:rsid w:val="00471D2B"/>
    <w:rsid w:val="004736C3"/>
    <w:rsid w:val="00474D00"/>
    <w:rsid w:val="00495160"/>
    <w:rsid w:val="004974C0"/>
    <w:rsid w:val="004A36F7"/>
    <w:rsid w:val="004B2A50"/>
    <w:rsid w:val="004C0252"/>
    <w:rsid w:val="0051488C"/>
    <w:rsid w:val="0051744C"/>
    <w:rsid w:val="0052025A"/>
    <w:rsid w:val="00524005"/>
    <w:rsid w:val="00534CDC"/>
    <w:rsid w:val="00541CE0"/>
    <w:rsid w:val="005534E1"/>
    <w:rsid w:val="00553DE7"/>
    <w:rsid w:val="00573487"/>
    <w:rsid w:val="00580CBF"/>
    <w:rsid w:val="005907B3"/>
    <w:rsid w:val="00592481"/>
    <w:rsid w:val="005949FA"/>
    <w:rsid w:val="005A350E"/>
    <w:rsid w:val="005B4651"/>
    <w:rsid w:val="005D3D82"/>
    <w:rsid w:val="005D44D1"/>
    <w:rsid w:val="006105B8"/>
    <w:rsid w:val="00613B97"/>
    <w:rsid w:val="006249FD"/>
    <w:rsid w:val="00651280"/>
    <w:rsid w:val="00665824"/>
    <w:rsid w:val="00680547"/>
    <w:rsid w:val="00687C8B"/>
    <w:rsid w:val="00695D76"/>
    <w:rsid w:val="006A5D4B"/>
    <w:rsid w:val="006B1AF6"/>
    <w:rsid w:val="006B67DC"/>
    <w:rsid w:val="006F3D8D"/>
    <w:rsid w:val="006F44EB"/>
    <w:rsid w:val="0070376B"/>
    <w:rsid w:val="00706497"/>
    <w:rsid w:val="00761108"/>
    <w:rsid w:val="00772B0B"/>
    <w:rsid w:val="00777391"/>
    <w:rsid w:val="0079023A"/>
    <w:rsid w:val="0079197B"/>
    <w:rsid w:val="00791A2A"/>
    <w:rsid w:val="00797219"/>
    <w:rsid w:val="007C1FAD"/>
    <w:rsid w:val="007C22CC"/>
    <w:rsid w:val="007C6FAA"/>
    <w:rsid w:val="007E2D19"/>
    <w:rsid w:val="007F2AEA"/>
    <w:rsid w:val="00813365"/>
    <w:rsid w:val="00813A2C"/>
    <w:rsid w:val="0082020C"/>
    <w:rsid w:val="0082075E"/>
    <w:rsid w:val="008337C9"/>
    <w:rsid w:val="00840E7A"/>
    <w:rsid w:val="008443D8"/>
    <w:rsid w:val="00854B1E"/>
    <w:rsid w:val="00856B8A"/>
    <w:rsid w:val="00876272"/>
    <w:rsid w:val="00883499"/>
    <w:rsid w:val="0088412D"/>
    <w:rsid w:val="00885FD1"/>
    <w:rsid w:val="008A6139"/>
    <w:rsid w:val="008C7DD0"/>
    <w:rsid w:val="008D2B2E"/>
    <w:rsid w:val="008D52C9"/>
    <w:rsid w:val="008E21B7"/>
    <w:rsid w:val="008F03C7"/>
    <w:rsid w:val="009064A9"/>
    <w:rsid w:val="00906622"/>
    <w:rsid w:val="00945F4B"/>
    <w:rsid w:val="009464AF"/>
    <w:rsid w:val="009534EE"/>
    <w:rsid w:val="00954E47"/>
    <w:rsid w:val="00965BFB"/>
    <w:rsid w:val="00970E28"/>
    <w:rsid w:val="0098120F"/>
    <w:rsid w:val="00996476"/>
    <w:rsid w:val="009B59CB"/>
    <w:rsid w:val="009E5184"/>
    <w:rsid w:val="009F23A7"/>
    <w:rsid w:val="009F23D3"/>
    <w:rsid w:val="00A021B7"/>
    <w:rsid w:val="00A07F91"/>
    <w:rsid w:val="00A131D9"/>
    <w:rsid w:val="00A14888"/>
    <w:rsid w:val="00A23226"/>
    <w:rsid w:val="00A30B18"/>
    <w:rsid w:val="00A3190A"/>
    <w:rsid w:val="00A34296"/>
    <w:rsid w:val="00A521A9"/>
    <w:rsid w:val="00A67141"/>
    <w:rsid w:val="00A831A5"/>
    <w:rsid w:val="00A925C0"/>
    <w:rsid w:val="00A9362D"/>
    <w:rsid w:val="00AA04D6"/>
    <w:rsid w:val="00AA3CB5"/>
    <w:rsid w:val="00AC2B17"/>
    <w:rsid w:val="00AE09E3"/>
    <w:rsid w:val="00AE1CA0"/>
    <w:rsid w:val="00AE39DC"/>
    <w:rsid w:val="00AE4DC4"/>
    <w:rsid w:val="00B02698"/>
    <w:rsid w:val="00B12F9A"/>
    <w:rsid w:val="00B3671C"/>
    <w:rsid w:val="00B430BB"/>
    <w:rsid w:val="00B51C88"/>
    <w:rsid w:val="00B552CA"/>
    <w:rsid w:val="00B84C12"/>
    <w:rsid w:val="00B95FB8"/>
    <w:rsid w:val="00BB4A42"/>
    <w:rsid w:val="00BB7845"/>
    <w:rsid w:val="00BC7D67"/>
    <w:rsid w:val="00BD5B49"/>
    <w:rsid w:val="00BF1CC6"/>
    <w:rsid w:val="00C01988"/>
    <w:rsid w:val="00C14E44"/>
    <w:rsid w:val="00C2465E"/>
    <w:rsid w:val="00C3149D"/>
    <w:rsid w:val="00C47ABE"/>
    <w:rsid w:val="00C6370C"/>
    <w:rsid w:val="00C66550"/>
    <w:rsid w:val="00C907D0"/>
    <w:rsid w:val="00CB1E23"/>
    <w:rsid w:val="00CB1F23"/>
    <w:rsid w:val="00CD04F0"/>
    <w:rsid w:val="00CD6506"/>
    <w:rsid w:val="00CE3A26"/>
    <w:rsid w:val="00D03DE0"/>
    <w:rsid w:val="00D16D9D"/>
    <w:rsid w:val="00D3349E"/>
    <w:rsid w:val="00D54AA2"/>
    <w:rsid w:val="00D55315"/>
    <w:rsid w:val="00D5587F"/>
    <w:rsid w:val="00D65B56"/>
    <w:rsid w:val="00D67D41"/>
    <w:rsid w:val="00D75593"/>
    <w:rsid w:val="00D87996"/>
    <w:rsid w:val="00DD7F80"/>
    <w:rsid w:val="00E205AA"/>
    <w:rsid w:val="00E25775"/>
    <w:rsid w:val="00E264FD"/>
    <w:rsid w:val="00E363B8"/>
    <w:rsid w:val="00E366C5"/>
    <w:rsid w:val="00E379AC"/>
    <w:rsid w:val="00E63AC1"/>
    <w:rsid w:val="00E66464"/>
    <w:rsid w:val="00E804B0"/>
    <w:rsid w:val="00E96015"/>
    <w:rsid w:val="00EA0955"/>
    <w:rsid w:val="00EA7288"/>
    <w:rsid w:val="00EB012B"/>
    <w:rsid w:val="00ED2E52"/>
    <w:rsid w:val="00ED5431"/>
    <w:rsid w:val="00EE5A8B"/>
    <w:rsid w:val="00F01EA0"/>
    <w:rsid w:val="00F2115C"/>
    <w:rsid w:val="00F378D2"/>
    <w:rsid w:val="00F44CBE"/>
    <w:rsid w:val="00F54C1E"/>
    <w:rsid w:val="00F85DED"/>
    <w:rsid w:val="00F90F90"/>
    <w:rsid w:val="00FB2093"/>
    <w:rsid w:val="00FB7297"/>
    <w:rsid w:val="00FC2ADA"/>
    <w:rsid w:val="00FF140B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4C16C003-777C-4ECE-AAF4-C974BB19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7FCE92AE0934AA75DC92C586D2B38" ma:contentTypeVersion="4" ma:contentTypeDescription="Create a new document." ma:contentTypeScope="" ma:versionID="200713e14b16188cf6fb00691a0015fa">
  <xsd:schema xmlns:xsd="http://www.w3.org/2001/XMLSchema" xmlns:xs="http://www.w3.org/2001/XMLSchema" xmlns:p="http://schemas.microsoft.com/office/2006/metadata/properties" xmlns:ns2="9ea42177-bd39-4422-bc55-06fe19a3249f" xmlns:ns3="42053911-1cb6-48e5-85c3-f28fde81b983" targetNamespace="http://schemas.microsoft.com/office/2006/metadata/properties" ma:root="true" ma:fieldsID="7a65266774043f4ea9f5c9f5ec9296dd" ns2:_="" ns3:_="">
    <xsd:import namespace="9ea42177-bd39-4422-bc55-06fe19a3249f"/>
    <xsd:import namespace="42053911-1cb6-48e5-85c3-f28fde81b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42177-bd39-4422-bc55-06fe19a32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3911-1cb6-48e5-85c3-f28fde81b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BE22AE-A04F-4A3F-9049-CE2E2DFCA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92EA0-ECD1-4F50-B01E-3585C6083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42177-bd39-4422-bc55-06fe19a3249f"/>
    <ds:schemaRef ds:uri="42053911-1cb6-48e5-85c3-f28fde81b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Holly Shergold</cp:lastModifiedBy>
  <cp:revision>2</cp:revision>
  <cp:lastPrinted>2018-03-23T10:31:00Z</cp:lastPrinted>
  <dcterms:created xsi:type="dcterms:W3CDTF">2023-05-09T07:56:00Z</dcterms:created>
  <dcterms:modified xsi:type="dcterms:W3CDTF">2023-05-09T07:56:00Z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0x0101007577FCE92AE0934AA75DC92C586D2B38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